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Rekordowa oferta obligacji Marvipol Development</w:t>
      </w:r>
    </w:p>
    <w:p/>
    <w:p>
      <w:pPr/>
      <w:r>
        <w:rPr>
          <w:sz w:val="22.5"/>
          <w:szCs w:val="22.5"/>
          <w:b w:val="1"/>
          <w:bCs w:val="1"/>
        </w:rPr>
        <w:t xml:space="preserve">Inwestorzy instytucjonalni i indywidualni objęli 150.000 obligacji serii P2024A Marvipol Development S.A. Wartość emisji wyniosła 150 mln zł. Zakończona sukcesem oferta obligacji giełdowego dewelopera jest nie tylko największą w dotychczasowej historii Grupy Marvipol, ale również największą prospektową ofertą obligacji na polskim rynku w obecnej dekadzie.</w:t>
      </w:r>
    </w:p>
    <w:p/>
    <w:p>
      <w:pPr/>
      <w:r>
        <w:rPr/>
        <w:t xml:space="preserve">– Spektakularny sukces oferty obligacji traktujemy jako kolejną zdecydowanie pozytywną ocenę modelu biznesowego Grupy Marvipol, perspektyw rozwoju naszej firmy oraz biznesowej rzetelności  – komentuje Mariusz Ksiażek, prezes Marvipol Development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2026-11-08T17:20:43+01:00</dcterms:created>
  <dcterms:modified xsi:type="dcterms:W3CDTF">2026-11-08T17:20:43+01:00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