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Udany trzeci kwartał dla Sonela – nowa strategia i ekspansja międzynarodowa na horyzoncie</w:t>
      </w:r>
    </w:p>
    <w:p/>
    <w:p>
      <w:pPr/>
      <w:r>
        <w:rPr>
          <w:sz w:val="22.5"/>
          <w:szCs w:val="22.5"/>
          <w:b w:val="1"/>
          <w:bCs w:val="1"/>
        </w:rPr>
        <w:t xml:space="preserve">Grupa Sonel, wiodący producent przyrządów pomiarowych, odnotowała dynamiczne wzrosty sprzedaży oraz poprawę wyników na wszystkich poziomach zyskowności. Skonsolidowane przychody w 3Q24 wyniosły 61,23 mln zł (+25,6% r/r), EBITDA osiągnęła 9,26 mln zł (+43,1% r/r), a zysk netto wyniósł 5,38 mln zł (+75,3% r/r). W 2025 roku Sonel planuje ogłoszenie nowej strategii na lata 2025–2027, której celem będzie dalsza ekspansja oraz umacnianie pozycji na kluczowych rynkach.</w:t>
      </w:r>
    </w:p>
    <w:p/>
    <w:p>
      <w:pPr/>
      <w:r>
        <w:rPr/>
        <w:t xml:space="preserve">W trzecim kwartale 2024 roku odnotowaliśmy satysfakcjonujące wyniki, osiągając wzrosty na każdym poziomie zyskowności. Nasza strategia rozwoju, oparta na ekspansji międzynarodowej i innowacjach produktowych, przynosi efekty. Szczególnie cieszy nas rosnące znaczenie rynków niemieckiego, indyjskiego oraz Bliskiego Wschodu, które otwierają przed nami nowe możliwości. Jednocześnie skupiamy się na dalszej poprawie efektywności operacyjnej, w tym optymalizacji zapasów magazynowych. Skupiamy się na rynkach takich jak Niemcy, które stanowią nasz kluczowy projekt w kontekście nowej spółki i potencjału tego rynku, mimo że kraj ten zmaga się z trudnościami gospodarczymi. Jednocześnie inwestujemy w rozwój w Indiach, Singapurze oraz krajach Ameryki Łacińskiej, gdzie szczególnie obiecująco prezentuje się Meksyk. Widzimy również duże perspektywy na Bliskim Wschodzie, a także w Holandii, Hiszpanii, Skandynawii oraz Europie Środkowo-Wschodniej, która korzysta na swoim strategicznym położeniu geopolitycznym – powiedział Tomasz Wiśniewski, prezes Sonel.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2026-11-08T17:20:35+01:00</dcterms:created>
  <dcterms:modified xsi:type="dcterms:W3CDTF">2026-11-08T17:20:35+01:00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