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Synthaverse może podwoić produkcję strategicznego leku</w:t>
      </w:r>
    </w:p>
    <w:p/>
    <w:p>
      <w:pPr/>
      <w:r>
        <w:rPr>
          <w:sz w:val="22.5"/>
          <w:szCs w:val="22.5"/>
          <w:b w:val="1"/>
          <w:bCs w:val="1"/>
        </w:rPr>
        <w:t xml:space="preserve">Polski producent leków otrzymał zgodę Urzędu Rejestracji Produktów Leczniczych, Wyrobów Medycznych i Produktów Biobójczych na niemal dwukrotne zwiększenie wielkości wytwarzanych serii Onko BCG 100. Produkcja tego deficytowego środka leczniczego może wzrosnąć już w IV kwartale br.</w:t>
      </w:r>
    </w:p>
    <w:p/>
    <w:p>
      <w:pPr/>
      <w:r>
        <w:rPr/>
        <w:t xml:space="preserve">- Dzięki temu nasze aktualne możliwości produkcyjne, strategicznego w portfolio Synthavers leku, wzrosną niemal dwukrotnie, począwszy od IV kwartału br. Jest to ważne z punktu widzenia rosnącego zapotrzebowania rynku na ten deficytowy produkt. Dodatkowo ulepszenie technologii w starym zakładzie będzie miało pozytywny wpływ na transfer technologii do nowopowstałego zakładu Onko BCG. Ważnym osiągnięciem umożliwiającym zwiększenie produkcji jest też zmiana sposobu namnażania bakterii, co zwielokrotnia możliwości wytwórcze Onko BCG. Jednocześnie należy dodać, że udoskonalanie technologii wiązało się z chwilowymi przestojami produkcyjnymi w związku z przeprowadzaniem wymaganych prób i testów, co w konsekwencji mogło czasowo wpływać na komercyjną sprzedaż – komentuje Mieczysław Starkowicz, prezes zarządu Synthaverse SA.</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2026-11-08T17:20:57+01:00</dcterms:created>
  <dcterms:modified xsi:type="dcterms:W3CDTF">2026-11-08T17:20:57+01:00</dcterms:modified>
</cp:coreProperties>
</file>

<file path=docProps/custom.xml><?xml version="1.0" encoding="utf-8"?>
<Properties xmlns="http://schemas.openxmlformats.org/officeDocument/2006/custom-properties" xmlns:vt="http://schemas.openxmlformats.org/officeDocument/2006/docPropsVTypes"/>
</file>