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ELEKTROTIM pokazał doskonałe wyniki</w:t>
      </w:r>
    </w:p>
    <w:p/>
    <w:p>
      <w:pPr/>
      <w:r>
        <w:rPr>
          <w:sz w:val="22.5"/>
          <w:szCs w:val="22.5"/>
          <w:b w:val="1"/>
          <w:bCs w:val="1"/>
        </w:rPr>
        <w:t xml:space="preserve">ELEKTROTIM zaprezentował znakomite wyniki po III kwartałach – 45 mln zł skonsolidowanego zysku netto oraz backlog bliski 600 mln zł. To solidna baza dla dalszego rozwoju i budowy wyższych przychodów w nadchodzącym roku.</w:t>
      </w:r>
    </w:p>
    <w:p/>
    <w:p>
      <w:pPr/>
      <w:r>
        <w:rPr/>
        <w:t xml:space="preserve">Jak podkreśla prezes Artur Więznowski „ELEKTROTIM już kolejny rok z rzędu pokazał swoją siłę. Wysoka jakość realizacji, zapewnienie płynnego finansowania nawet dużych kontraktów i poprawa komunikacji wewnątrz firmy sprawiły, że nasza spółka jest naturalnym partnerem dla każdego inwestora, który mierzy się z budową lub modernizacją szeroko rozumianych rozwiązań z obszaru elektroenergetyki, monitoringu i bezpieczeństwa. Perspektywy rynkowe dla branży elektroenergetycznej są obiecujące, co sprzyja dalszemu rozwojowi ELEKTROTIMU. W miarę jak Polska kontynuuje transformację energetyczną oraz wdraża nowoczesne rozwiązania w obszarze energii i bezpieczeństwa, wrocławska firma staje się naturalnym partnerem dla inwestorów zajmujących się budową i modernizacją takich rozwiązań”.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2026-11-08T17:20:45+01:00</dcterms:created>
  <dcterms:modified xsi:type="dcterms:W3CDTF">2026-11-08T17:20:45+01:00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