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Synthaverse: Przejściowy spadek wyników, kolejne kwartały będą lepsze</w:t>
      </w:r>
    </w:p>
    <w:p/>
    <w:p>
      <w:pPr/>
      <w:r>
        <w:rPr>
          <w:sz w:val="22.5"/>
          <w:szCs w:val="22.5"/>
          <w:b w:val="1"/>
          <w:bCs w:val="1"/>
        </w:rPr>
        <w:t xml:space="preserve">Biotechnologiczna spółka zmagała się w drugiej połowie roku z chwilowym spadkiem przychodów. Złożyło się na to kilka przyczyn o charakterze przejściowym, takich jak opóźnienia – niezależne od Synthaverse – w realizacji krajowych dostaw Onko BCG w ramach wygranych przetargów, zwiększone zapasy u dystrybutorów oraz kontynuacja strategicznych inwestycji w innowacje technologiczne, co wiązało się z chwilowym ograniczeniem produkcji. W kolejnych kwartałach oczekiwana jest poprawa wyników.</w:t>
      </w:r>
    </w:p>
    <w:p/>
    <w:p>
      <w:pPr/>
      <w:r>
        <w:rPr/>
        <w:t xml:space="preserve">- Spadek sprzedaży to etap przejściowy związany m.in. z kontynuacją inwestycji o strategicznym znaczeniu. Wdrażane w ostatnim czasie innowacje technologiczne w zakresie Onko BCG obejmowały m.in. wprowadzenie fiolek w miejsce szklanych ampułek, rozpoczęcie dystrybucji wyrobu medycznego FillChoice – stosowanego w zabiegach urologicznych, do rekonstytucji i podawania leków oraz terapii przeciwnowotworowych – a także zwiększenie wielkości serii produkcyjnej z 1.600 do 3.000 fiolek. Dalsze inwestycje pozwolą nam podnieść moce produkcyjne nawet siedmiokrotnie i wejść na kolejne rynki. Pełne wykorzystanie nowych mocy planujemy na 2027 rok – komentuje Mieczysław Starkowicz, Prezes Zarządu Synthaverse.</w:t>
      </w:r>
    </w:p>
    <w:p/>
    <w:p>
      <w:pPr/>
      <w:r>
        <w:rPr/>
        <w:t xml:space="preserve">- Niemniej już w najbliższych kwartałach spodziewamy się poprawy dostępności produktów oraz kontynuacji ekspansji na rynki europejskie i południowoamerykańskie. To powinno przełożyć się na poprawę wyników. Już w tym roku rozpoczęliśmy sprzedaż Onko BCG na dużym europejskim rynku we Francji, a wkrótce nastąpi to w Niemczech, co pierwotnie miało nastąpić nieco wcześniej. Jednocześnie przygotowujemy się do pierwszych dostaw na rynek holenderski. Widzimy duże zapotrzebowanie na nasze leki we wszystkich krajach, gdzie prowadzimy sprzedaż, jak również na rynkach, na które staramy się wejść – ocenia Mieczysław Starkowicz.</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2026-11-08T17:20:48+01:00</dcterms:created>
  <dcterms:modified xsi:type="dcterms:W3CDTF">2026-11-08T17:20:48+01:00</dcterms:modified>
</cp:coreProperties>
</file>

<file path=docProps/custom.xml><?xml version="1.0" encoding="utf-8"?>
<Properties xmlns="http://schemas.openxmlformats.org/officeDocument/2006/custom-properties" xmlns:vt="http://schemas.openxmlformats.org/officeDocument/2006/docPropsVTypes"/>
</file>