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Artifex Mundi rośnie w dwucyfrowym tempie</w:t>
      </w:r>
    </w:p>
    <w:p/>
    <w:p>
      <w:pPr/>
      <w:r>
        <w:rPr>
          <w:sz w:val="22.5"/>
          <w:szCs w:val="22.5"/>
          <w:b w:val="1"/>
          <w:bCs w:val="1"/>
        </w:rPr>
        <w:t xml:space="preserve">Notowany na GPW producent i wydawca gier zamknął sierpień br. z blisko 9,4 mln zł przychodów. Sprzedaż spółki była w minionym miesiącu wyższa o ponad 1 mln zł od rezultatu osiągniętego w lipcu br., a dynamika wzrostu rok do roku wyniosła 18%. Wydatki na akwizycję graczy dla Unsolved, budujące fundament dla przyszłych przychodów z komercjalizacji gry, wyniosły rekordowe 5,6 mln zł.</w:t>
      </w:r>
    </w:p>
    <w:p/>
    <w:p>
      <w:pPr/>
      <w:r>
        <w:rPr/>
        <w:t xml:space="preserve">Wierzę, że w najbliższych 12 miesiącach, od jesieni bieżącego roku począwszy, dostarczymy Akcjonariuszom Artifex Mundi szeregu podstaw do zadowolenia z zaangażowania w naszą spółkę – komentuje Przemysław Błaszczyk, prezes Artifex Mundi. 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2026-11-08T17:21:00+01:00</dcterms:created>
  <dcterms:modified xsi:type="dcterms:W3CDTF">2026-11-08T17:21:00+01:00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