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Synthaverse zwiększył kwartalną sprzedaż o 65 proc.</w:t>
      </w:r>
    </w:p>
    <w:p/>
    <w:p>
      <w:pPr/>
      <w:r>
        <w:rPr>
          <w:sz w:val="22.5"/>
          <w:szCs w:val="22.5"/>
          <w:b w:val="1"/>
          <w:bCs w:val="1"/>
        </w:rPr>
        <w:t xml:space="preserve">Polski producent leków zakończył trzeci kwartał skokową poprawą wyniku EBITDA i na poziomie cash flow operacyjnego. Synthaverse liczy na wzrost wyników także w całym 2024 roku. Myśląc o długoterminowym rozwoju intensywnie pracuje nad rejestracją produktów Onko BCG w nowych krajach.</w:t>
      </w:r>
    </w:p>
    <w:p/>
    <w:p>
      <w:pPr/>
      <w:r>
        <w:rPr/>
        <w:t xml:space="preserve">- Trzeci kwartał zakończyliśmy dynamicznym wzrostem przychodów, powracając na wzrostową ścieżkę. Cieszą też wyraźnie rosnące, z kwartału na kwartał, przepływy z działalności operacyjnej, co świadczy o naszej dobrej płynności finansowej. Liczymy, że poprawa wyników będzie kontynuowana w kolejnym kwartale. Naszym celem jest osiągnięcie w całym 2024 roku lepszych wyników niż w minionym roku, który był dla nas rekordowy pod względem sprzedaży – komentuje Mieczysław Starkowicz, prezes zarządu Synthaverse SA.</w:t>
      </w:r>
    </w:p>
    <w:p/>
    <w:p>
      <w:pPr/>
      <w:r>
        <w:rPr/>
        <w:t xml:space="preserve">- Z myślą o planowanym wzroście produkcji intensywnie rozbudowujemy rynek zbytu. Pracując nad rejestracją produktów Onko BCG w nowych krajach, właśnie finalizujemy rozmowy z dużymi partnerami, którzy są obecni na rynku Ameryki Południowej oraz w Europie, na rynkach, na których jeszcze nie jesteśmy – dodaje Mieczysław Starkowicz, prezes zarządu Synthaverse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2026-11-08T17:20:53+01:00</dcterms:created>
  <dcterms:modified xsi:type="dcterms:W3CDTF">2026-11-08T17:20:53+01:00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