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inwestuje w przyszły wzrost</w:t>
      </w:r>
    </w:p>
    <w:p/>
    <w:p>
      <w:pPr/>
      <w:r>
        <w:rPr>
          <w:sz w:val="22.5"/>
          <w:szCs w:val="22.5"/>
          <w:b w:val="1"/>
          <w:bCs w:val="1"/>
        </w:rPr>
        <w:t xml:space="preserve">Zremb Chojnice, polski producent specjalistycznych kontenerów i platform transportowych, intensywnie inwestuje w rozwój nowych produktów oraz zwiększenie efektywności produkcji. Choć związane z tym koszty obciążają tegoroczną rentowność, Spółka oczekuje poprawy wyników i znaczącego przyspieszenia począwszy od 2027 roku. Fundamentem dalszego rozwoju ma być rosnący portfel zamówień, w szczególności z sektora obronnego oraz przejście od kosztownego etapu prototypowania do produkcji seryjnej.</w:t>
      </w:r>
    </w:p>
    <w:p/>
    <w:p>
      <w:pPr/>
      <w:r>
        <w:rPr/>
        <w:t xml:space="preserve">– Rok 2026 jest dla nas okresem intensywnych przygotowań do kolejnego etapu rozwoju. W ostatnich miesiącach opracowaliśmy szereg zaawansowanych prototypów, ponosząc koszty, które nie znajdują jeszcze odzwierciedlenia w przychodach. To naturalna specyfika tego rodzaju projektów. Ich komercyjny potencjał ujawnia się dopiero przy realizacji większych serii zamówień. Zakładamy, że pierwsze efekty tych prac będą widoczne już w IV kwartale, natomiast zdecydowanie więcej oczekujemy po 2027 roku – mówi Krzysztof Kosiorek-Sobolewski, prezes Zrembu Chojnice.</w:t>
      </w:r>
    </w:p>
    <w:p/>
    <w:p>
      <w:pPr/>
      <w:r>
        <w:rPr/>
        <w:t xml:space="preserve">– Prowadzimy także rozmowy i uczestniczy w kolejnych postępowaniach dotyczących przedsięwzięć o wartości od kilkunastu do około 20 mln zł. Ponadto ubiegamy się o realizację znacznie większego, długoterminowego projektu, którego potencjalna wartość wielokrotnie przewyższa wspomniane kwoty. Obserwujemy coraz większe zainteresowanie mobilnymi rozwiązaniami dla wojska, a skala pojawiających się projektów pozwala z optymizmem patrzeć w przyszłość. Naszą ambicją jest pozyskiwanie kontraktów o większej wartości i dłuższym horyzoncie realizacji. To pozwoliłoby nam lepiej planować wykorzystanie mocy produkcyjnych i budować stabilny portfel zamówień na kolejne lata. Chcemy w pełni wykorzystać koniunkturę na rynku zbrojeniowym, również poza Polską. Dodatkowe możliwości stwarzają europejskie programy finansowania inwestycji obronnych, w tym SAFE. W połączeniu z efektami prowadzonych inwestycji daje nam to mocne podstawy, by począwszy od 2027 roku oczekiwać znacznej poprawy wyników  – podkreśla Krzysztof Kosiorek-Sobolewski.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2026-11-08T17:06:17+01:00</dcterms:created>
  <dcterms:modified xsi:type="dcterms:W3CDTF">2026-11-08T17:06:17+01:00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