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DRUTEX zadebiutuje na Architect@Work w Warszawie</w:t>
      </w:r>
    </w:p>
    <w:p/>
    <w:p>
      <w:pPr/>
      <w:r>
        <w:rPr>
          <w:sz w:val="22.5"/>
          <w:szCs w:val="22.5"/>
          <w:b w:val="1"/>
          <w:bCs w:val="1"/>
        </w:rPr>
        <w:t xml:space="preserve">W dniach 27–28 maja 2026 roku Drutex po raz pierwszy weźmie udział w targach Architect@Work – jednym z najbardziej selektywnych wydarzeń branżowych skierowanych do architektów i projektantów.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2026-11-08T17:10:26+01:00</dcterms:created>
  <dcterms:modified xsi:type="dcterms:W3CDTF">2026-11-08T17:10:26+01:00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