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APS Energia z wieloletnim kontraktem w segmencie e-mobility</w:t>
      </w:r>
    </w:p>
    <w:p/>
    <w:p>
      <w:pPr/>
      <w:r>
        <w:rPr>
          <w:sz w:val="22.5"/>
          <w:szCs w:val="22.5"/>
          <w:b w:val="1"/>
          <w:bCs w:val="1"/>
        </w:rPr>
        <w:t xml:space="preserve">Czołowy w kraju projektant i producent systemów zasilania gwarantowanego dostarczy co najmniej 283 publiczne stacje ładowania samochodów elektrycznych w ramach realizowanego projektu dla dużej ogólnopolskiej sieci handlowej. Wartość kontraktu to blisko 10 mln zł. Udana realizacja umowy w podstawowym wariancie daje możliwość rozszerzenia zamówienia z tym samym klientem w dużo większym zakresie – cały projekt zakłada stworzenie jednej z największych w kraju sieci ładowania aut.</w:t>
      </w:r>
    </w:p>
    <w:p/>
    <w:p>
      <w:pPr/>
      <w:r>
        <w:rPr/>
        <w:t xml:space="preserve">- To bardzo ważny dla nas kontrakt w segmencie e-mobility, który będziemy wspólnie realizowali ze spółką Eway dla dużej ogólnopolskiej sieci handlowej. Wariant podstawowy zakłada dostarczenie 283 stacji ładowania AC i DC. Udana realizacja umowy w podstawowej opcji daje możliwość rozszerzenia zamówienia o kolejne ilości– wówczas mówimy o realizacji kilkuletniego projektu związanego z rozbudową jednej z największych w kraju sieci ładowania aut elektrycznych. Wiemy, że jest to kontrakt, który już teraz otwiera nam nowe możliwości rozwoju w segmencie e-mobility – komentuje Piotr Skrzyński, Dyrektor Operacyjny APS Energia.</w:t>
      </w:r>
    </w:p>
    <w:p/>
    <w:p>
      <w:pPr/>
      <w:r>
        <w:rPr/>
        <w:t xml:space="preserve">- Pozyskany kontrakt w segmencie e-mobility jest ważny z punktu widzenia dywersyfikacji naszej działalności. Systematycznie budujemy portfel zamówień w segmencie Trakcja i Transport, jednocześnie pracując nad rozwojem w obszarze e-mobility i magazynów energii oraz sektorze infrastruktury wojskowej i energetyki atomowej. Nasz backlog dynamicznie rośnie i jest na historycznie rekordowym poziomie – w pierwszej połowie marca br. wynosił 147,5 mln zł. Szansą na dynamiczny rozwój naszego przedsiębiorstwa są fundusze z Krajowego Planu Odbudowy, które w dużej części będą finansowały transformację energetyczną – podkreśla Piotr Szewczyk, Prezes Zarządu APS Energia.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2026-11-08T17:20:14+01:00</dcterms:created>
  <dcterms:modified xsi:type="dcterms:W3CDTF">2026-11-08T17:20:14+01:00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