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Backlog APS Energia wzrósł do rekordowego poziomu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zakończył pierwsze półrocze br. wzrostem skonsolidowanych przychodów o 14 proc. do ponad 56 mln zł. W drugą połowę roku wszedł z portfelem zleceń sięgającym 96,6 mln zł (+40 proc. r/r). Zarząd z optymizmem patrzy na drugie półrocze.</w:t>
      </w:r>
    </w:p>
    <w:p/>
    <w:p>
      <w:pPr/>
      <w:r>
        <w:rPr/>
        <w:t xml:space="preserve">-Decydująca dla wzrostu przychodów była wyższa sprzedaż eksportowa. Warto podkreślić, że zauważalny wzrost kosztów komponentów do produkcji oraz kosztów pracy, nie przeszkodził nam w poprawie zysku brutto ze sprzedaży. Jednocześnie należy pamiętać, że pierwsze dwa kwartały roku należą do tradycyjnie słabszych pod względem wyników. W drugie półrocze weszliśmy z portfelem zamówień sięgającym 96,6 mln zł i jest on na historycznie najwyższym poziomie. Posiadany backlog oraz udział w wielu postępowaniach przetargowych sprawia, że perspektywy na drugie półrocze i kolejne okresy wyglądają dość optymistycznie – komentuje Piotr Szewczyk, Prezes Zarządu APS Energia.</w:t>
      </w:r>
    </w:p>
    <w:p/>
    <w:p>
      <w:pPr/>
      <w:r>
        <w:rPr/>
        <w:t xml:space="preserve">- Zarówno sprzedaż, jak i pozyskany portfel zamówień Grupy wskazują na wysoki udział projektów zleconych przez klientów z rynków eksportowych. Bierzemy udział w wielu przetargach za granicą, ale też w kraju, oczekując na pozyskanie nowych zamówień. W tym tygodniu podpisaliśmy list intencyjny na duży projekt w branży e-mobility. Dotyczy on produkcji i częściowej instalacji do 1500 jedno i wielostanowiskowych publicznych stacji ładowania AC i DC samochodów elektrycznych dla ogólnopolskiej sieci handlowej. W kolejnych kwartałach liczymy na wymierne efekty realizowanej strategii, w której kładziemy duży nacisk na rozwój w dynamicznie rosnących branżach, takich jak elektromobilność czy trakcja i transport – dodaje Piotr Szewczyk.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2026-11-08T17:20:35+01:00</dcterms:created>
  <dcterms:modified xsi:type="dcterms:W3CDTF">2026-11-08T17:20:35+01:00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