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wejdzie ze szczepionką przeciwgruźliczą na duży rynek</w:t>
      </w:r>
    </w:p>
    <w:p/>
    <w:p>
      <w:pPr/>
      <w:r>
        <w:rPr>
          <w:sz w:val="22.5"/>
          <w:szCs w:val="22.5"/>
          <w:b w:val="1"/>
          <w:bCs w:val="1"/>
        </w:rPr>
        <w:t xml:space="preserve">Biotechnologiczna Spółka zawarła umowę na rejestrację, dostawę i dystrybucję szczepionki przeciwgruźliczej BCG 10 w Brazylii. Minimalna wartość zamówienia przekracza 76 mln zł. Brazylia będzie pierwszym rynkiem pozaeuropejski dla tego produktu.</w:t>
      </w:r>
    </w:p>
    <w:p/>
    <w:p>
      <w:pPr/>
      <w:r>
        <w:rPr/>
        <w:t xml:space="preserve">- Rozwijamy strategiczną współpracę w zakresie sprzedaży naszych produktów w Ameryce Południowej ze sprawdzonym partnerem – brazylijską firmą farmaceutyczną Blau Farmacéutica. Obecna umowa z Partnerem dotyczy wejścia na rynek ze szczepionką przeciwgruźliczą BCG 10, a wcześniejsza – z końca ubiegłego roku –  dotyczyła produktu leczniczego Onko BCG 100.Ze szczepionką przeciwgruźliczą jesteśmy obecni na europejskim rynku. Dostrzegając jej duży potencjał sprzedażowy chcemy sprzedawać ten produkt również na innych rynkach. Wejście na kontynent południowoamerykański będzie pojawieniem się z naszą szczepionką na pierwszym poza Europą rynku, a jednocześnie szansą na zaistnienie na rynku o dużym potencjale sprzedażowym i elementem znaczącej dywersyfikacji sprzedażowej – komentuje Mieczysław Starkowicz, prezes zarządu Synthaverse SA.</w:t>
      </w:r>
    </w:p>
    <w:p/>
    <w:p>
      <w:pPr/>
      <w:r>
        <w:rPr/>
        <w:t xml:space="preserve">- Prace nad rejestracją Onko BCG 100 w Ameryce Południowej przebiegają zgodnie z planem. Intensywnie pracujemy też nad możliwością wejścia na inne rynki z tym produktem oraz Distreptazą. Jesteśmy w trakcie finalizacji rozmów z partnerem, których celem jest pojawienie się z wymienionymi produktami leczniczymi w jednym z krajów Europy Południowej – dodaje Mieczysław Starkowicz.</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2026-11-08T17:20:41+01:00</dcterms:created>
  <dcterms:modified xsi:type="dcterms:W3CDTF">2026-11-08T17:20:41+01:00</dcterms:modified>
</cp:coreProperties>
</file>

<file path=docProps/custom.xml><?xml version="1.0" encoding="utf-8"?>
<Properties xmlns="http://schemas.openxmlformats.org/officeDocument/2006/custom-properties" xmlns:vt="http://schemas.openxmlformats.org/officeDocument/2006/docPropsVTypes"/>
</file>