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blisko dużego zamówienia w segmencie T&amp;T</w:t>
      </w:r>
    </w:p>
    <w:p/>
    <w:p>
      <w:pPr/>
      <w:r>
        <w:rPr>
          <w:sz w:val="22.5"/>
          <w:szCs w:val="22.5"/>
          <w:b w:val="1"/>
          <w:bCs w:val="1"/>
        </w:rPr>
        <w:t xml:space="preserve">Czołowy w kraju projektant i producent gwarantowanych systemów zasilania wygrał przetarg na dostawę urządzeń do wagonów spółce PKP Intercity Remtrak o maksymalnej wartości 38,4 mln zł. APS Energia widzi duży potencjał rozwoju w segmencie Trakcji &amp; Transportu (T&amp;T) i liczy na dalszą współpracę z Remtrakiem.</w:t>
      </w:r>
    </w:p>
    <w:p/>
    <w:p>
      <w:pPr/>
      <w:r>
        <w:rPr/>
        <w:t xml:space="preserve">- Będzie to dla nas jedno z największych zamówień pozyskanych w segmencie Trakcji &amp; Transportu w tym roku. W maksymalnym zakresie może dotyczyć dostawy 161 przetwornic statycznych o łącznej wartości 38,4 mln zł. Jest to zamówienie wieloletnie, a pierwsze dostawy powinny ruszyć już we wrześniu br. Warto dodać, że przetwornice tego samego typu dostarczaliśmy już PKP Intercity Remtrak w ramach realizacji wcześniejszego kontraktu. Fakt, że po raz kolejny realizujemy dostawy dla PKP Intercity Remtrak, dowodzi stabilnej i dobrze rozwijającej się współpracy. Jesteśmy sprawdzonym i renomowanym producentem urządzeń w segmencie T&amp;T, a naszym atutem jest tworzenie produktów na indywidualne zamówienia klientów – komentuje Aneta Piekarska, Dyrektor Sprzedaży ds. T&amp;T w APS Energia, odpowiedzialna za kontakty z PKP Intercity Remtrak.</w:t>
      </w:r>
    </w:p>
    <w:p/>
    <w:p>
      <w:pPr/>
      <w:r>
        <w:rPr/>
        <w:t xml:space="preserve">- Będzie to ważne zamówienie o dużej skali i na długi okres. Pozyskanie kolejnego kontraktu z PKP Intercity Remtrak wzmocni naszą pozycję w segmencie Trakcji &amp; Transportu. Jednocześnie potwierdza dynamiczny rozwój w obszarze, który jest jednym ze strategicznych kierunków naszego rozwoju. Widzimy duży potencjał wzrostu na rynku T&amp;T i chcemy to wykorzystać startując także w innych przetargach, zarówno na rynku polskim jak też za granicą – podkreśla Piotr Szewczyk, Prezes Zarządu APS Energia.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2026-11-08T17:20:31+01:00</dcterms:created>
  <dcterms:modified xsi:type="dcterms:W3CDTF">2026-11-08T17:20:31+01:00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