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chce wrócić na wzrostową ścieżkę</w:t>
      </w:r>
    </w:p>
    <w:p/>
    <w:p>
      <w:pPr/>
      <w:r>
        <w:rPr>
          <w:sz w:val="22.5"/>
          <w:szCs w:val="22.5"/>
          <w:b w:val="1"/>
          <w:bCs w:val="1"/>
        </w:rPr>
        <w:t xml:space="preserve">Rok 2025 był dla biotechnologicznej Spółki okresem wielu wyzwań. Zarząd oczekuje, że podjęcie szeregu działań w czterech głównych obszarach pozwoli stworzyć silne fundamenty do trwałego powrotu na wzrostową ścieżkę i umożliwi zbudowanie mocnej pozycji rynkowej. Pierwsze efekty tych inicjatyw są już widoczne.</w:t>
      </w:r>
    </w:p>
    <w:p/>
    <w:p>
      <w:pPr/>
      <w:r>
        <w:rPr/>
        <w:t xml:space="preserve">- Rok 2025 był dla Synthaverse okresem wymagającym, naznaczonym istotnymi wyzwaniami operacyjnymi oraz ważnymi decyzjami o charakterze strategicznym. Jednocześnie jesteśmy przekonani, że działania podjęte w tym czasie – pomimo ich krótkoterminowego, negatywnego wpływu na wyniki finansowe – stworzyły solidny fundament do trwałego wzrostu wartości Spółki w kolejnych okresach – komentuje Artur Chodkowski, Prezes Zarządu Synthaverse.</w:t>
      </w:r>
    </w:p>
    <w:p/>
    <w:p>
      <w:pPr/>
      <w:r>
        <w:rPr/>
        <w:t xml:space="preserve">- Duże znaczenie dla dalszego rozwoju ma rozpoczęta w tym roku sprzedaż produktu Onko BCG w Niemczech i Francji – największych i najbardziej wymagających rynkach farmaceutycznych w Europie. Warto podkreślić, że BCG pozostaje standardem leczenia nieinwazyjnego raka pęcherza moczowego, a globalne niedobory tej terapii oraz rosnące potrzeby medyczne tworzą istotny potencjał wzrostu, który zamierzamy konsekwentnie wykorzystywać – dodaje Artur Chodkowski. </w:t>
      </w:r>
    </w:p>
    <w:p/>
    <w:p>
      <w:pPr/>
      <w:r>
        <w:rPr/>
        <w:t xml:space="preserve">- Jednym z naszych priorytetów jest maksymalizacja efektywności wykorzystania aktywów oraz dostosowanie bazy kosztowej do realiów rynkowych. W minionym roku osiągnęliśmy istotne postępy operacyjne i technologiczne m.in. we wdrażaniu innowacyjnych rozwiązań w procesie namnażania bakterii, poprawie efektywności produkcji oraz zabezpieczeniu zdolności produkcyjnych dla bieżących kontraktów. Jednocześnie stworzyliśmy podstawy do dalszego wzrostu sprzedaży po uruchomieniu nowej infrastruktury – wskazuje Prezes Zarządu Synthaverse.</w:t>
      </w:r>
    </w:p>
    <w:p/>
    <w:p>
      <w:pPr/>
      <w:r>
        <w:rPr/>
        <w:t xml:space="preserve">- Oczekujemy, że efekty tych działań będą widoczne w najbliższych tygodniach. Ich realizacja powinna przyczynić się do poprawy struktury bilansu, redukcji zadłużenia oraz wzmocnienia płynności finansowej Spółki – podkreśla Artur Chodkowski.</w:t>
      </w:r>
    </w:p>
    <w:p/>
    <w:p>
      <w:pPr/>
      <w:r>
        <w:rPr/>
        <w:t xml:space="preserve">- Rok 2026 rozpoczęliśmy od gruntownej przebudowy struktury operacyjnej Synthaverse. Jej celem jest zwiększenie przewidywalności wyników, uproszczenie procesów oraz jednoznaczne przypisanie odpowiedzialności w organizacji. Podejmujemy działania w zakresie optymalizacji struktury finansowania, odpowiadające aktualnym wyzwaniom oraz planom rozwojowym. Stoimy przed wyzwaniami, które są jasno zdefiniowane i możliwe do skutecznego zaadresowania. Spółka dysponuje technologią, infrastrukturą oraz kompetencjami, które – przy zachowaniu dyscypliny finansowej – stanowią solidny fundament do odbudowy pozycji rynkowej i tworzenia długoterminowej wartości – podsumowuje Artur Chodkowski, Prezes Zarządu Synthaverse.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2026-11-08T17:10:16+01:00</dcterms:created>
  <dcterms:modified xsi:type="dcterms:W3CDTF">2026-11-08T17:10:16+01:00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