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APS Energia w dwucyfrowym tempie poprawia wyniki</w:t>
      </w:r>
    </w:p>
    <w:p/>
    <w:p>
      <w:pPr/>
      <w:r>
        <w:rPr>
          <w:sz w:val="22.5"/>
          <w:szCs w:val="22.5"/>
          <w:b w:val="1"/>
          <w:bCs w:val="1"/>
        </w:rPr>
        <w:t xml:space="preserve">Polski projektant i producent gwarantowanych systemów zasilania zwiększył w I kwartale 2026 roku przychody o 20 proc. W podobnym tempie rósł zysk brutto ze sprzedaży oraz EBITDA. W ocenie zarządu, rekordowy backlog jest dobrym prognostykiem na cały ten rok.</w:t>
      </w:r>
    </w:p>
    <w:p/>
    <w:p>
      <w:pPr/>
      <w:r>
        <w:rPr/>
        <w:t xml:space="preserve">- Wyniki za I kwartał br. są wyjątkowe i historycznie najwyższe, jakie uzyskaliśmy do tej pory w kwartale rozpoczynającym rok. To zasługa realizacji rekordowego portfela zamówień. Skupiamy się na zabezpieczaniu zasobów by na bieżąco realizować backlog posiadanych projektów. W związku z tym rozszerzamy nasze działy produkcji, R&amp;D oraz handlowy. Jednocześnie prowadzimy ekspansję zagraniczną, wchodząc na nowe rynki i umacniając się na obecnych. Posiadany najwyższy w historii backlog, o czym już informowaliśmy w raporcie rocznym za 2025 r., może mieć potencjalne przełożenie na uzyskanie w tym roku wysokiej sprzedaży. Cały rok 2026 zapowiada się naprawdę dobrze – komentuje Piotr Szewczyk, Prezes Zarządu APS Energia.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2026-11-08T17:10:19+01:00</dcterms:created>
  <dcterms:modified xsi:type="dcterms:W3CDTF">2026-11-08T17:10:19+01:00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