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wejdzie z Onko BCG na trzy nowe rynki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leków rozszerza współpracę z serbską firmą farmaceutyczną CoraPharm o nowe rynki bałkańskie — Albanię, Macedonię Północną oraz Czarnogórę. Synthaverse kontynuuje dynamiczną ekspansję zagraniczną oraz dywersyfikację geograficzną.</w:t>
      </w:r>
    </w:p>
    <w:p/>
    <w:p>
      <w:pPr/>
      <w:r>
        <w:rPr/>
        <w:t xml:space="preserve">- Konsekwentnie realizujemy plan ekspansji z Onko BCG, jednym z kluczowych produktów, który chcemy rozwijać. Wchodzimy na kolejne rynki z czołową na Bałkanach firmą farmaceutyczną, co wpisuje się w naszą strategię. To kolejny etap ekspansji zagranicznej oraz dalszej dywersyfikacji geograficznej naszej działalności. Warto dodać, że w maju br. otrzymaliśmy informację o rejestracji Onko BCG 100 w Serbii, co potwierdza dobrą współpracę z CoraPharm oraz zdolność naszego produktu do spełniania rygorystycznych wymagań regulacyjnych – podkreśla Artur Chodkowski, Prezes Zarządu Synthaverse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2026-11-08T17:10:17+01:00</dcterms:created>
  <dcterms:modified xsi:type="dcterms:W3CDTF">2026-11-08T17:10:17+01:00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