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sz w:val="27"/>
          <w:szCs w:val="27"/>
          <w:b w:val="1"/>
          <w:bCs w:val="1"/>
        </w:rPr>
        <w:t xml:space="preserve">Synthaverse stawia na internacjonalizację i aktualizuje strategię</w:t>
      </w:r>
    </w:p>
    <w:p/>
    <w:p>
      <w:pPr/>
      <w:r>
        <w:rPr>
          <w:sz w:val="22.5"/>
          <w:szCs w:val="22.5"/>
          <w:b w:val="1"/>
          <w:bCs w:val="1"/>
        </w:rPr>
        <w:t xml:space="preserve">Polski producent leków chce skalować biznes za granicą by w perspektywie najbliższych lat – korzystając z dużego potencjału nowego Zakładu Produkcyjnego Onko BCG oraz Centrum Badawczo Rozwojowego – stać się ważnym graczem na rynku międzynarodowym. Plany zakładają m.in. wejście w nowe, wysoko marżowe obszary terapeutyczne, opracowanie wersji szczepionki BCG przeznaczonej na rynek UNICEF czy poszerzanie portfolio produktowego, poprzez strategiczne umowy licencyjne typu license-in. Przewidziane działania będą wymagały odpowiednich środków, które mają pochodzić z podwyższenia kapitału.</w:t>
      </w:r>
    </w:p>
    <w:p/>
    <w:p>
      <w:pPr/>
      <w:r>
        <w:rPr/>
        <w:t xml:space="preserve">- Dzięki nowemu zapleczu technologicznego znacznie spadną nasze koszty wytwarzania, jednocześnie zwiększając maksymalny wolumen produkcji. To otwiera nam drogę do obecności na dużych rynkach. Dlatego rozpoczynamy działania mające na celu opracowanie wersji szczepionki BCG przeznaczonej na rynek UNICEF. Projekt ten stanowi element strategii internacjonalizacji działalności firmy i obejmuje przygotowania do procesu prekwalifikacji WHO, niezbędnego do wprowadzenia produktu na rynki krajów rozwijających się.Jednocześnie planujemy wejście w nowe, wysoko marżowe obszary terapeutyczne. Jest wśród nich leczenie bólu, onkologia oraz gastroenterologia. Wybraliśmy je z uwagi na ich potencjał rynkowy, strategiczne dopasowanie oraz możliwość prowadzenia działań promocyjnych w modelu specjalistycznym – podkreśla Mieczysław Starkowicz, prezes zarządu Synthaverse SA.</w:t>
      </w:r>
    </w:p>
    <w:p/>
    <w:p>
      <w:pPr/>
      <w:r>
        <w:rPr/>
        <w:t xml:space="preserve">- Prowadzenie tych wszystkich działań będzie wymagało odpowiednich nakładów inwestycyjnych. To z kolei wiąże się z koniecznością pozyskania dodatkowych źródeł finansowania. Z naszego punktu widzenia optymalnym rozwiązaniem będzie podwyższenie kapitału. Liczymy, że pozyskane środki z nowej emisji znacząco wesprą dynamiczny rozwój naszej Spółki, która może stać się ważnym graczem na międzynarodowym rynku – dodaje prezes zarządu Synthaverse SA.</w:t>
      </w:r>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2026-11-08T17:20:32+01:00</dcterms:created>
  <dcterms:modified xsi:type="dcterms:W3CDTF">2026-11-08T17:20:32+01:00</dcterms:modified>
</cp:coreProperties>
</file>

<file path=docProps/custom.xml><?xml version="1.0" encoding="utf-8"?>
<Properties xmlns="http://schemas.openxmlformats.org/officeDocument/2006/custom-properties" xmlns:vt="http://schemas.openxmlformats.org/officeDocument/2006/docPropsVTypes"/>
</file>