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Synthaverse: Rekordowe wyniki i dwucyfrowa dynamika</w:t>
      </w:r>
    </w:p>
    <w:p/>
    <w:p>
      <w:pPr/>
      <w:r>
        <w:rPr>
          <w:sz w:val="22.5"/>
          <w:szCs w:val="22.5"/>
          <w:b w:val="1"/>
          <w:bCs w:val="1"/>
        </w:rPr>
        <w:t xml:space="preserve">Polski producent leków z Lublina osiągnął w 2024 roku rekordowe przychody i zyski – sprzedaż wzrosła do 71,8 mln zł, a EBITDA przekroczyła 20 mln zł. Spółka chce w 2025 roku kontynuować trend dynamicznej poprawy wyników.</w:t>
      </w:r>
    </w:p>
    <w:p/>
    <w:p>
      <w:pPr/>
      <w:r>
        <w:rPr/>
        <w:t xml:space="preserve">- Nasza strategia przynosi wymierne efekty – za nami kolejny rok dynamicznych wzrostów. Rekordowe przychody to m.in. zasługa wzrostu sprzedaży Onko BCG o 57 proc. do 26,8 mln zł. Cieszą też rekordowe zyski, osiągnięte pomimo wymagającego otoczenia. Chcemy kontynuować ten trend i w 2025 roku nadal dynamicznie poprawiać wyniki – komentuje Mieczysław Starkowicz, prezes zarządu Synthaverse SA.</w:t>
      </w:r>
    </w:p>
    <w:p/>
    <w:p>
      <w:pPr/>
      <w:r>
        <w:rPr/>
        <w:t xml:space="preserve">- Podpisane umowy z Blau Farmacéutica są największe pod względem wartości w historii Synthaverse. Pozwalają na dywersyfikację rynków sprzedażowych i odpowiednie przygotowanie się w związku z planowanym wzrostem produkcji w nowym zakładzie Onko BCG – dodaje Mieczysław Starkowicz, prezes zarządu Synthaverse SA.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2026-11-08T17:20:26+01:00</dcterms:created>
  <dcterms:modified xsi:type="dcterms:W3CDTF">2026-11-08T17:20:26+01:00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