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League: Kolejnych osiem aut trafiło do mistrzów sprzedaży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największych producentów okien, drzwi, bram i rolet w Europie, nagrodził najlepszych Partnerów Handlowych w ramach kolejnych rozstrzygnięć drugiego etapu prestiżowego konkursu kierowanego do własnych dealerów. Na tym nie koniec – kolejne nowe auta czekają na zwycięzców trzeciego etapu Drutex League oraz równolegle realizowanego projektu Drutex Royal League.</w:t>
      </w:r>
    </w:p>
    <w:p/>
    <w:p>
      <w:pPr/>
      <w:r>
        <w:rPr/>
        <w:t xml:space="preserve">– Cieszymy się, że tak wielu dealerów aktywnie uczestniczy w naszych konkursach i osiąga w nich znakomite rezultaty. Samochody, które właśnie trafiły do kolejnej ósemki zwycięzców, to nie tylko nagrody, ale też symbol naszego partnerstwa i wspólnego rozwoju. Projekty realizowane wspólnie z naszymi dealerami są elementem szerokiego programu wsparcia sprzedaży i rozwoju sieci partnerskiej Drutex – podkreśla Tomasz Szymański, Dyrektor Marketingu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2026-11-08T17:10:14+01:00</dcterms:created>
  <dcterms:modified xsi:type="dcterms:W3CDTF">2026-11-08T17:10:14+01:00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