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Sonel umacnia pozycję, mimo wyzwań rynkowych – stabilny rozwój w I półroczu 2024 roku</w:t>
      </w:r>
    </w:p>
    <w:p/>
    <w:p>
      <w:pPr/>
      <w:r>
        <w:rPr>
          <w:sz w:val="22.5"/>
          <w:szCs w:val="22.5"/>
          <w:b w:val="1"/>
          <w:bCs w:val="1"/>
        </w:rPr>
        <w:t xml:space="preserve">Grupa Kapitałowa Sonel S.A. zamknęła I półrocze 2024 roku z przychodami na poziomie 96,8 mln zł, odnotowując wzrost zysku brutto na sprzedaży o 16,8% rdr. Spółka kontynuuje rozwój, inwestując w aktywa trwałe oraz zwiększając swoją ekspozycję eksportową w kluczowych segmentach rynku technologii pomiarowych.</w:t>
      </w:r>
    </w:p>
    <w:p/>
    <w:p>
      <w:pPr/>
      <w:r>
        <w:rPr/>
        <w:t xml:space="preserve">Mimo niższych przychodów, wynikających z mniejszego przerobu liczników i usług, Grupa Sonel skutecznie utrzymuje wysoką rentowność, co jest efektem strategicznych inwestycji oraz koncentracji na kluczowych produktach, jak mierniki. Pomimo wyzwań rynkowych, takich jak osłabienie euro i niestabilna sytuacja makroekonomiczna, Grupa optymistycznie patrzy na drugie półrocze. Oczekujemy znaczącej poprawy wyników, szczególnie dzięki rozwojowi Foxytech, który intensyfikuje sprzedaż liczników i poszukuje nowych odbiorców. Sonel Instruments India oraz spółka z Singapuru kontynuują ekspansję na rynkach zagranicznych, co przełoży się na wzrost sprzedaży i dalsze umocnienie pozycji Grupy Kapitałowej – powiedział Tomasz Wiśniewski, Prezes Zarządu Sonel S.A. </w:t>
      </w:r>
    </w:p>
    <w:p/>
    <w:p>
      <w:pPr/>
      <w:r>
        <w:rPr/>
        <w:t xml:space="preserve">Nasza strategia ekspansji zakłada również intensyfikację działań na innych kontynentach. Rozwijamy się w Ameryce Południowej, Azji, a także w Stanach Zjednoczonych, gdzie widzimy znaczący potencjał dla naszych innowacyjnych produktów. Te rynki, ze względu na rosnące zapotrzebowanie na technologie związane z energią odnawialną i bezpieczeństwem instalacji, stanowią dla Sonela naturalny kierunek rozwoju – mówi Tomasz Wiśniewski, Prezes Zarządu Sonel S.A.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2026-11-08T17:20:26+01:00</dcterms:created>
  <dcterms:modified xsi:type="dcterms:W3CDTF">2026-11-08T17:20:26+01:00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