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ELEKTROTIM z rekordowym backlogiem na koniec pierwszego kwartału 2024 r.</w:t>
      </w:r>
    </w:p>
    <w:p/>
    <w:p>
      <w:pPr/>
      <w:r>
        <w:rPr>
          <w:sz w:val="22.5"/>
          <w:szCs w:val="22.5"/>
          <w:b w:val="1"/>
          <w:bCs w:val="1"/>
        </w:rPr>
        <w:t xml:space="preserve">ELEKTROTIM S.A. zanotował udany początek 2024 roku. Portfel zleceń na koniec marca br. osiągnął rekordowe 647 mln zł co oznacza poprawę rok do roku o 14 proc. Historycznie najwyższa była również wartość zamówień pozyskanych w ciągu ostatnich 12 miesięcy, która wyniosła 595 mln zł.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2026-11-08T17:20:22+01:00</dcterms:created>
  <dcterms:modified xsi:type="dcterms:W3CDTF">2026-11-08T17:20:22+01:00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