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sz w:val="27"/>
          <w:szCs w:val="27"/>
          <w:b w:val="1"/>
          <w:bCs w:val="1"/>
        </w:rPr>
        <w:t xml:space="preserve">Zremb Chojnice zbudował wysoki backlog i zwiększa moce produkcyjne</w:t>
      </w:r>
    </w:p>
    <w:p/>
    <w:p>
      <w:pPr/>
      <w:r>
        <w:rPr>
          <w:sz w:val="22.5"/>
          <w:szCs w:val="22.5"/>
          <w:b w:val="1"/>
          <w:bCs w:val="1"/>
        </w:rPr>
        <w:t xml:space="preserve">Producent specjalistycznych kontenerów zakończył pierwsze trzy kwartały 2024 roku dwucyfrową dynamiką przychodów i zysku operacyjnego oraz trzycyfrowym wzrostem na poziomie zysku netto. Spółka posiada satysfakcjonujący portfel zamówień i widzi obiecujące perspektywy do dalszego rozwoju.</w:t>
      </w:r>
    </w:p>
    <w:p/>
    <w:p>
      <w:pPr/>
      <w:r>
        <w:rPr/>
        <w:t xml:space="preserve">- Po pierwszych dziewięciu miesiącach tego roku nasze wyniki są na rekordowo wysokim poziomie, patrząc z perspektywy ostatnich lat. Osiągnęliśmy prawie trzykrotny wzrost zysku netto w ujęciu r/r, a poprawa rentowności jest efektem głównie realizacji większej ilości kontraktów z przeznaczeniem dla sił zbrojnych, zarówno w kraju jak i za granicą. Jeśli chodzi o sam trzeci kwartał, to słabszy wynik operacyjny miał związek z realizacją dwóch pilotażowych projektów, które okazały się bardziej kosztochłonne z racji większej liczby roboczogodzin. Taka sytuacja zdarza się przy wykonywaniu nowych projektów o charakterze pilotażowym. Niemniej nasz portfel zamówień na kolejne okresy jest bezpieczny i charakteryzuje się satysfakcjonującymi nas marżami. Widzimy dość wysoką ilość zapytań oraz zamówień szczególnie w obszarze zbrojeniowy. To wszystko sprawia, że z optymizmem patrzymy w przyszłość – komentuje Krzysztof Kosiorek-Sobolewski, prezes Zrembu-Chojnice.</w:t>
      </w:r>
    </w:p>
    <w:p/>
    <w:p>
      <w:pPr/>
      <w:r>
        <w:rPr/>
        <w:t xml:space="preserve">- Unowocześniamy nasz park maszynowy, dostosowując go do obecnych i przyszłych potrzeb. Jest to konieczne, gdyż rynek specjalistycznych kontenerów, szczególnie dla sił zbrojnych, stawia coraz wyższe wymogi co do technologii produkcji oraz uzyskiwanych tolerancji. Jednocześnie czeka nas dalsza modernizacja infrastruktury produkcyjnej w tym jej termomodernizacja. To wiąże się z historycznie wysokim zapotrzebowaniem na bardzo obecnie drogie ciepło, którego koszt zimą potrafi przekraczać 10 proc. wszystkich kosztów Spółki. Nasze nakłady inwestycje już zrealizowane i w realizacji szacujemy na kilkanaście milionów złotych. Finansujemy je ze środków własnych oraz korzystając ze wsparcia publicznego – dodaje Krzysztof Kosiorek-Sobolewski.</w:t>
      </w:r>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2026-11-08T17:20:13+01:00</dcterms:created>
  <dcterms:modified xsi:type="dcterms:W3CDTF">2026-11-08T17:20:13+01:00</dcterms:modified>
</cp:coreProperties>
</file>

<file path=docProps/custom.xml><?xml version="1.0" encoding="utf-8"?>
<Properties xmlns="http://schemas.openxmlformats.org/officeDocument/2006/custom-properties" xmlns:vt="http://schemas.openxmlformats.org/officeDocument/2006/docPropsVTypes"/>
</file>