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TORPOL: rekordowy portfel zamówień i w oczekiwaniu na przetargi kolejowe od PKP PLK i CPK</w:t>
      </w:r>
    </w:p>
    <w:p/>
    <w:p>
      <w:pPr/>
      <w:r>
        <w:rPr>
          <w:sz w:val="22.5"/>
          <w:szCs w:val="22.5"/>
          <w:b w:val="1"/>
          <w:bCs w:val="1"/>
        </w:rPr>
        <w:t xml:space="preserve">Grupa TORPOL zamknęła pierwsze półrocze 2024 roku z imponującym wzrostem przychodów, ponad 30% rok do roku. Grupa utrzymuje stabilną pozycję finansową i zabezpiecza przyszłość, dzięki rekordowemu portfelowi zamówień o wartości prawie 4,2 mld zł netto.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2026-11-08T17:18:09+01:00</dcterms:created>
  <dcterms:modified xsi:type="dcterms:W3CDTF">2026-11-08T17:18:09+01:00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