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Najwyższy backlog i rekordowy zysk netto w historii Grupy Elektrotim – spółka na kursie do dalszego wzrostu</w:t>
      </w:r>
    </w:p>
    <w:p/>
    <w:p>
      <w:pPr/>
      <w:r>
        <w:rPr>
          <w:sz w:val="22.5"/>
          <w:szCs w:val="22.5"/>
          <w:b w:val="1"/>
          <w:bCs w:val="1"/>
        </w:rPr>
        <w:t xml:space="preserve">Grupa ELEKTROTIM utrzymała w kolejnym kwartale bardzo wysoki backlog na poziomie ponad 640 mln PLN. Dodatkowo odnotowała rekordowy zysk netto po pierwszym półroczu 2024 roku na poziomie 29 mln zł. Spółka widzi szanse na jeszcze lepsze wyniki, dzięki realizacji projektów w kluczowych segmentach działalności.</w:t>
      </w:r>
    </w:p>
    <w:p/>
    <w:p>
      <w:pPr/>
      <w:r>
        <w:rPr/>
        <w:t xml:space="preserve">W pierwszym półroczu Grupa osiągnęła przychody na poziomie 174 mln zł. </w:t>
      </w:r>
    </w:p>
    <w:p/>
    <w:p>
      <w:pPr/>
      <w:r>
        <w:rPr>
          <w:i w:val="1"/>
          <w:iCs w:val="1"/>
        </w:rPr>
        <w:t xml:space="preserve">Cieszymy się z historycznie rekordowych 29 mln zł skonsolidowanego zysku netto po pierwszym półroczu, pamiętając, że znaczna część tego wyniku to odwrócenie ujemnych kapitałów Zeus SA, powiązane ze sprzedażą tej spółki. Ujemny wynik Zeus SA obciążył jednak wyniki skonsolidowane w roku 2023, tak więc te dwie wielkości znoszą się wzajemnie w horyzoncie ostatnich 18 miesięcy. Tym samym sumaryczny wynik Grupy za rok 2023 i 1H 2024 ma wymiar jak najbardziej realny, a jest to zysk (brutto) w wysokości aż 53,5 mln zł. (46 mln zł. netto). To doskonały rezultat potwierdzający słuszność przyjętych w strategii założeń i potencjał Elektrotimu. Nie osiadamy na laurach i widzimy realne szanse na jeszcze lepsze wyniki - spodziewamy się mocnego drugiego półrocza, ponieważ największe kontrakty prowadzone w formule zaprojektuj-wybuduj dopiero wchodzą w fazę realizacji. Na przyszłość patrzymy też przez pryzmat bardzo wysokiego backlogu (mimo wejścia w sezon wykonawczy), który osiągnął 643 mln zł. Ten wynik zapewnia nam pożądany poziom przychodów w horyzoncie roku, umożliwiając jednocześnie selektywne budowanie portfela zamówień na korzystnych marżach. Obserwujemy wyraźne ożywienie we wszystkich obsługiwanych segmentach rynku. Rośnie liczba zamówień zarówno w sektorze obronnym, jak i energetycznym. Skupiamy się na utrzymaniu rentowności i budowaniu dźwigni operacyjnej </w:t>
      </w:r>
      <w:r>
        <w:rPr/>
        <w:t xml:space="preserve">– mówi </w:t>
      </w:r>
      <w:r>
        <w:rPr>
          <w:b w:val="1"/>
          <w:bCs w:val="1"/>
        </w:rPr>
        <w:t xml:space="preserve">Artur Więznowski, Prezes Zarządu ELEKTROTIM S.A.</w:t>
      </w:r>
    </w:p>
    <w:p/>
    <w:p>
      <w:pPr/>
      <w:r>
        <w:rPr/>
        <w:t xml:space="preserve">Grupa ELEKTROTIM pozostaje jednym z giełdowych liderów pod względem stopy wypłacanej dywidendy, kontynuując zapisaną w strategii politykę dzielenia się zyskiem z akcjonariuszami. 4 września Spółka wypłaciła akcjonariuszom dywidendę za 2023 rok w wysokości 2,50 zł na akcję. </w:t>
      </w:r>
    </w:p>
    <w:p/>
    <w:p>
      <w:pPr/>
      <w:r>
        <w:rPr>
          <w:i w:val="1"/>
          <w:iCs w:val="1"/>
        </w:rPr>
        <w:t xml:space="preserve">W ciągu ostatnich dwóch lat wypłaciliśmy łącznie 40 mln zł dywidendy, co stanowi imponującą sumę w porównaniu do ok. 80 mln zł wypłaconych w kilkunastu wcześniejszych latach, od debiutu na giełdzie w 2007 roku. Nasza strategia, zakłada przeznaczanie co najmniej 50 proc. zysku jednostkowego na dywidendę. W ostatnich latach te wartości były wyższe – w 2023 roku było to 65 proc., a w 2024 roku 61 proc. Przy takiej stopie dywidendy nasza spółka należy do najbardziej atrakcyjnych na giełdzie, z wskaźnikiem DY na poziomie 8-10%. Zamierzamy kontynuować tę politykę w przyszłości – </w:t>
      </w:r>
      <w:r>
        <w:rPr/>
        <w:t xml:space="preserve">powiedział </w:t>
      </w:r>
      <w:r>
        <w:rPr>
          <w:b w:val="1"/>
          <w:bCs w:val="1"/>
        </w:rPr>
        <w:t xml:space="preserve">Artur Więznowski, Prezes ELEKTROTIM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2026-11-08T17:18:09+01:00</dcterms:created>
  <dcterms:modified xsi:type="dcterms:W3CDTF">2026-11-08T17:18:09+01:00</dcterms:modified>
</cp:coreProperties>
</file>

<file path=docProps/custom.xml><?xml version="1.0" encoding="utf-8"?>
<Properties xmlns="http://schemas.openxmlformats.org/officeDocument/2006/custom-properties" xmlns:vt="http://schemas.openxmlformats.org/officeDocument/2006/docPropsVTypes"/>
</file>