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Rekordowe półrocze Zrembu Chojnice</w:t>
      </w:r>
    </w:p>
    <w:p/>
    <w:p>
      <w:pPr/>
      <w:r>
        <w:rPr>
          <w:sz w:val="22.5"/>
          <w:szCs w:val="22.5"/>
          <w:b w:val="1"/>
          <w:bCs w:val="1"/>
        </w:rPr>
        <w:t xml:space="preserve">Na półmetku 2024 roku polski producent specjalistycznych kontenerów zanotował skokową poprawę – EBITDA wzrosła w ujęciu r/r o 360 proc., a marża na tym poziomie sięgnęła aż 19 proc., co jest lepszym wynikiem aż o 13,8 p.p. względem pierwszego półrocza ubiegłego roku. Celem Spółki na drugie półrocze jest utrzymanie trendu wynikowego z pierwszej połowy roku.</w:t>
      </w:r>
    </w:p>
    <w:p/>
    <w:p>
      <w:pPr/>
      <w:r>
        <w:rPr>
          <w:color w:val="2B2F36"/>
          <w:i w:val="1"/>
          <w:iCs w:val="1"/>
          <w:shd w:val="clear" w:fill="white"/>
        </w:rPr>
        <w:t xml:space="preserve">Według wstępnych szacunków Zremb Chojnice zakończył pierwsze półrocze 2024 z rekordowymi przychodami w wysokości 20,4 mln zł. To rezultat lepszy o 26,5 proc. w ujęciu r/r i o 36,6 proc. w porównaniu do średniej za odpowiednie okresy w latach 2021-2023 (na potrzeby obliczenia średnich wyników Spółki i obliczenia odchyleń w stosunku do wyników osiągniętych w I półroczu 2024 roku Zarząd przyjął okres 2021-2023).</w:t>
      </w:r>
    </w:p>
    <w:p/>
    <w:p>
      <w:pPr/>
      <w:r>
        <w:rPr>
          <w:color w:val="2B2F36"/>
          <w:i w:val="1"/>
          <w:iCs w:val="1"/>
          <w:shd w:val="clear" w:fill="white"/>
        </w:rPr>
        <w:t xml:space="preserve">W ślad za rosnącą sprzedażą jeszcze dynamiczniej rosły zyski. Półroczna EBITDA wyniosła rekordowe 3,88 mln zł (+360proc. r/r i +156 proc. w ujęciu do średniej z lat 2021-2023). EBIT zwiększył się blisko 15-krotnie i przekroczył 2,9 mln zł (+193 proc. w ujęciu do średniej z lat 2021-2023). Zysk netto zbliżył się do poziomu 2,6 mln zł wobec straty w pierwszym półroczu ubiegłego roku w wysokości -0,09 mln zł. Uzyskany wynik netto jest też około 11-krotnie lepszy niż średnia z analogicznych okresów lat 2021-2023. Należy dodać, że półroczne wyniki nie były obciążone zdarzeniami jednorazowymi.</w:t>
      </w:r>
    </w:p>
    <w:p/>
    <w:p>
      <w:pPr/>
      <w:r>
        <w:rPr>
          <w:color w:val="2B2F36"/>
          <w:i w:val="1"/>
          <w:iCs w:val="1"/>
          <w:shd w:val="clear" w:fill="white"/>
        </w:rPr>
        <w:t xml:space="preserve">- W minionym półroczu osiągnęliśmy bardzo dobre wyniki. Cieszy wysoka dynamika przychodów oraz zysków, a także ponadprzeciętna rentowność. Marża EBITDA na poziomie 19 proc. i netto sięgająca 12,7 proc. tylko pokazują jak udane było to półrocze. Duża w tym zasługa posiadanego portfela zamówień, zbudowanego z wysokiej jakości zleceń. Motorem wzrostów były zamówienia realizowane dla sił zbrojnych, które odpowiadają za około 70 proc. naszych przychodów. Oprócz tego specjalistyczne kontenery produkujemy dla branży offshore i odbiorców cywilnych. Uzupełnieniem naszej działalności są wykonywane konstrukcje stalowe. </w:t>
      </w:r>
    </w:p>
    <w:p/>
    <w:p>
      <w:pPr/>
      <w:r>
        <w:rPr>
          <w:color w:val="2B2F36"/>
          <w:i w:val="1"/>
          <w:iCs w:val="1"/>
          <w:shd w:val="clear" w:fill="white"/>
        </w:rPr>
        <w:t xml:space="preserve">W drugie półrocze weszliśmy z dobrze zbilansowanym oraz wypełnionym portfelem i nie widzimy tu specjalnych czynników ryzyka. Naszym celem na drugą część roku jest utrzymanie trendu wynikowego z pierwszej połowy br. Jesteśmy uznanym, zarówno w kraju jak też za granicą, producentem specjalistycznych kontenerów z przeznaczeniem m.in. dla sił zbrojnych, a coraz większe inwestycje w obszarze obronności, jakie są czynione i w kolejnych latach będą kontynuowane, pozwalają nam z optymizmem patrzeć w przyszłość – komentuje </w:t>
      </w:r>
      <w:r>
        <w:rPr>
          <w:color w:val="2B2F36"/>
          <w:b w:val="1"/>
          <w:bCs w:val="1"/>
          <w:i w:val="1"/>
          <w:iCs w:val="1"/>
          <w:shd w:val="clear" w:fill="white"/>
        </w:rPr>
        <w:t xml:space="preserve">Krzysztof Kosiorek-Sobolewski, prezes Zrembu-Chojnice.</w:t>
      </w:r>
    </w:p>
    <w:p/>
    <w:p>
      <w:pPr/>
      <w:r>
        <w:rPr>
          <w:color w:val="2B2F36"/>
          <w:shd w:val="clear" w:fill="white"/>
        </w:rPr>
        <w:t xml:space="preserve">Ostateczne wyniki finansowe za I półrocze 2024 roku zostaną opublikowane 23 września 2024 roku w raporcie okresowym. </w:t>
      </w:r>
    </w:p>
    <w:p/>
    <w:p>
      <w:pPr/>
      <w:r>
        <w:rPr>
          <w:color w:val="2B2F36"/>
          <w:i w:val="1"/>
          <w:iCs w:val="1"/>
          <w:shd w:val="clear" w:fill="white"/>
        </w:rPr>
        <w:t xml:space="preserve">W drugie półrocze weszliśmy z dobrze zbilansowanym oraz wypełnionym portfelem i nie widzimy tu specjalnych czynników ryzyka. Naszym celem na drugą część roku jest utrzymanie trendu wynikowego z pierwszej połowy br. Jesteśmy uznanym, zarówno w kraju jak też za granicą, producentem specjalistycznych kontenerów z przeznaczeniem m.in. dla sił zbrojnych, a coraz większe inwestycje w obszarze obronności, jakie są czynione i w kolejnych latach będą kontynuowane, pozwalają nam z optymizmem patrzeć w przyszłość – komentuje </w:t>
      </w:r>
      <w:r>
        <w:rPr>
          <w:color w:val="2B2F36"/>
          <w:b w:val="1"/>
          <w:bCs w:val="1"/>
          <w:i w:val="1"/>
          <w:iCs w:val="1"/>
          <w:shd w:val="clear" w:fill="white"/>
        </w:rPr>
        <w:t xml:space="preserve">Krzysztof Kosiorek-Sobolewski, prezes Zrembu-Chojnice.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2026-11-08T17:20:32+01:00</dcterms:created>
  <dcterms:modified xsi:type="dcterms:W3CDTF">2026-11-08T17:20:32+01:00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