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zakończył restrukturyzację zadłużenia, priorytetem dalszy rozwój</w:t>
      </w:r>
    </w:p>
    <w:p/>
    <w:p>
      <w:pPr/>
      <w:r>
        <w:rPr>
          <w:sz w:val="22.5"/>
          <w:szCs w:val="22.5"/>
          <w:b w:val="1"/>
          <w:bCs w:val="1"/>
        </w:rPr>
        <w:t xml:space="preserve">Biotechnologiczna spółka spłaciła przed terminem ostatnią ratę w ramach zawartego w 2016 roku układu z wierzycielami. Niezależnie od przeznaczenia na spłatę wierzycieli w sumie prawie 97,1 mln zł, Synthaverse zdołał wybudował i uruchomił Zakład Produkcyjny Onko BCG oraz Centrum Badawczo-Rozwojowe, które kosztowały łącznie ponad 180 mln zł. i mają w ciągu najbliższych lat zapewnić skokowy wzrost. Teraz Spółka może skupić się wyłącznie na rozwoju i dalszej ekspansji w kraju oraz za granicą., a środki, które do tej pory szły na obsługę wierzycieli, mogą dodatkowo wzmocnić działalność operacyjną.</w:t>
      </w:r>
    </w:p>
    <w:p/>
    <w:p>
      <w:pPr/>
      <w:r>
        <w:rPr>
          <w:color w:val="2C363A"/>
          <w:shd w:val="clear" w:fill="white"/>
        </w:rPr>
        <w:t xml:space="preserve">W 2016 roku Synthaverse (ówczesny Biomed Lublin) zawarł układ z wierzycielami w ramach postępowania restrukturyzacyjnego. Wartość wierzytelności objętych układem wraz ze świadczeniami ubocznymi wyniosła 97,1 mln zł. Termin pierwszej spłaty przypadał na października 2016 roku, a ostatniej przypada na koniec tego roku. Spółka właśnie poinformowała o całkowitej spłacie wierzytelności układowych.</w:t>
      </w:r>
    </w:p>
    <w:p/>
    <w:p>
      <w:pPr/>
      <w:r>
        <w:rPr>
          <w:color w:val="2C363A"/>
          <w:i w:val="1"/>
          <w:iCs w:val="1"/>
          <w:shd w:val="clear" w:fill="white"/>
        </w:rPr>
        <w:t xml:space="preserve">– Pomimo realizacji dwóch strategicznych inwestycji, łącznie za ponad 180 mln zł, byliśmy w stanie jednocześnie spłacić wierzytelności w ramach realizowanego postępowania układowego. W ciągu ośmiu lat była to kwota prawie 97,1 mln zł. To dobitnie pokazuje, jak silne mamy podstawy i zdrowe fundamenty core biznesu. Jednocześnie dowodzi naszej skuteczności w realizowaniu przyjętej strategii, zarazem wskazując na potencjał, jaki drzemie w Synthaverse. </w:t>
      </w:r>
    </w:p>
    <w:p/>
    <w:p>
      <w:pPr/>
      <w:r>
        <w:rPr>
          <w:color w:val="2C363A"/>
          <w:i w:val="1"/>
          <w:iCs w:val="1"/>
          <w:shd w:val="clear" w:fill="white"/>
        </w:rPr>
        <w:t xml:space="preserve">Dodatkowo warto zaznaczyć, że ostatnie wierzytelności spłaciliśmy przed terminem. Teraz będziemy mogli skupić się wyłącznie na rozwoju i dalszej ekspansji w kraju i za granicą, a środki, które do tej pory przeznaczaliśmy na obsługę wierzycieli, mogą być wydatkowane na wzmocnienie działalności operacyjnej. Do tego spłata w całości zadłużenia wynikającego z układu znacząco poprawia naszą sytuację finansową i możliwości pozyskania ewentualnego finansowania dłużnego. Jesteśmy obecnie w ważnym momencie, gdyż wkraczamy w nowy etap rozwoju, związany z uruchomieniem dwóch strategicznych inwestycji – komentuje </w:t>
      </w:r>
      <w:r>
        <w:rPr>
          <w:color w:val="2C363A"/>
          <w:b w:val="1"/>
          <w:bCs w:val="1"/>
          <w:i w:val="1"/>
          <w:iCs w:val="1"/>
          <w:shd w:val="clear" w:fill="white"/>
        </w:rPr>
        <w:t xml:space="preserve">Mieczysław Starkowicz, prezes zarządu Synthaverse.</w:t>
      </w:r>
    </w:p>
    <w:p/>
    <w:p>
      <w:pPr/>
      <w:r>
        <w:rPr>
          <w:color w:val="2C363A"/>
          <w:shd w:val="clear" w:fill="white"/>
        </w:rPr>
        <w:t xml:space="preserve">Z początkiem 2024 roku Spółka rozpoczęła działalność operacyjną w nowo wybudowanym Centrum Badawczo- Rozwojowym (CBR), kilka dni temu uruchomiono nowy zakład Onko BCG. W 2026 roku Synthaverse chce dojść do pełnej operacyjności, zarówno nowego zakładu produkcyjnego, jak też CBR, co powinno podnieść moce w zakresie Onko aż 7-krotnie. Nowy zakład wyróżnia najnowocześniejsza infrastruktura i park maszynowy, w najwyższym standardzie jakościowym, co daje możliwość produkowania nawet na najbardziej wymagające rynki na świecie. Lek Onko BCG, który będzie tam produkowany jest stosowany w terapii onkologicznej, gdzie występuje światowy deficyt. W CBR docelowo będą przygotowywane i wprowadzane na rynek produkty lecznicze charakteryzujące się wysoką innowacyjnością w skali światowej.</w:t>
      </w:r>
    </w:p>
    <w:p/>
    <w:p>
      <w:pPr/>
      <w:r>
        <w:rPr>
          <w:color w:val="2C363A"/>
          <w:i w:val="1"/>
          <w:iCs w:val="1"/>
          <w:shd w:val="clear" w:fill="white"/>
        </w:rPr>
        <w:t xml:space="preserve">– Pomimo realizacji dwóch strategicznych inwestycji, łącznie za ponad 180 mln zł, byliśmy w stanie jednocześnie spłacić wierzytelności w ramach realizowanego postępowania układowego. W ciągu ośmiu lat była to kwota prawie 97,1 mln zł. To dobitnie pokazuje, jak silne mamy podstawy i zdrowe fundamenty core biznesu. Jednocześnie dowodzi naszej skuteczności w realizowaniu przyjętej strategii, zarazem wskazując na potencjał, jaki drzemie w Synthaverse – komentuje </w:t>
      </w:r>
      <w:r>
        <w:rPr>
          <w:color w:val="2C363A"/>
          <w:b w:val="1"/>
          <w:bCs w:val="1"/>
          <w:i w:val="1"/>
          <w:iCs w:val="1"/>
          <w:shd w:val="clear" w:fill="white"/>
        </w:rPr>
        <w:t xml:space="preserve">Mieczysław Starkowicz, prezes zarządu Synthaverse.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2026-11-08T17:20:23+01:00</dcterms:created>
  <dcterms:modified xsi:type="dcterms:W3CDTF">2026-11-08T17:20:23+01:00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