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Rekordowe odzyski i rosnące dochody GK BEST</w:t>
      </w:r>
    </w:p>
    <w:p/>
    <w:p>
      <w:pPr/>
      <w:r>
        <w:rPr>
          <w:sz w:val="22.5"/>
          <w:szCs w:val="22.5"/>
          <w:b w:val="1"/>
          <w:bCs w:val="1"/>
        </w:rPr>
        <w:t xml:space="preserve">Giełdowa grupa finansowa zamknęła I półrocze 2024 roku z 9% wzrostem gotówkowej EBITDA, do ponad 128 mln zł. Spłaty z wierzytelności należne GK BEST wzrosły w minionym półroczu o 17%, do blisko 236 mln zł. Motorami wzrostu przychodów i dochodów Grupy są dynamicznie rosnące inwestycje w zakup portfeli wierzytelności oraz systematycznie zwiększająca się efektywność GK BEST.</w:t>
      </w:r>
    </w:p>
    <w:p/>
    <w:p>
      <w:pPr/>
      <w:r>
        <w:rPr/>
        <w:t xml:space="preserve">Przychody operacyjne GK BEST wyniosły w I półroczu 181,3 mln zł, wobec 179,4 mln zł rok wcześniej. O płaskiej strukturze przychodów przesądził brak dodatnich przeszacowań portfeli oraz wyjęcie w IV kwartale 2023 ze sprawozdań danych dotyczących połowy portfeli należących do Funduszu BEST III. Finalnie zysk netto na koniec I połowy 2024 roku wzrósł o 26%, do 31,7 mln zł. </w:t>
      </w:r>
    </w:p>
    <w:p/>
    <w:p>
      <w:pPr/>
      <w:r>
        <w:rPr/>
        <w:t xml:space="preserve">Istotny wpływ na tegoroczne wyniki Grupy ma dynamiczny wzrost skali jej działalności. Wartość bilansowa portfeli wierzytelności na koniec minionego półrocza sięgnęła 1,46 mld zł, najwyższego poziomu w 30-letniej historii Grupy. Tylko w I półroczu GK BEST przeznaczyła na zakup portfeli 178,5 mln zł, nabywając wierzytelności o wartości nominalnej 0,87 mld zł. Z kolei wartość nominalna szacowanych przyszłych spłat z posiadanego portfela (ERC) wzrosła w I półroczu o 10%, do ponad 3,3 mld zł.</w:t>
      </w:r>
    </w:p>
    <w:p/>
    <w:p>
      <w:pPr/>
      <w:r>
        <w:rPr/>
        <w:t xml:space="preserve">- </w:t>
      </w:r>
      <w:r>
        <w:rPr>
          <w:i w:val="1"/>
          <w:iCs w:val="1"/>
        </w:rPr>
        <w:t xml:space="preserve">Zbieramy owoce wieloletniej pracy skoncentrowanej na stworzeniu mocnych fundamentów pod dynamiczny wzrost Grupy BEST. Rośniemy dziś nie tylko dzięki stabilnemu, zdrowemu bilansowi, pozwalającemu na pozyskiwanie zdywersyfikowanego finansowania, ale również dzięki konsekwentnemu doskonaleniu kluczowych procesów w firmie. Podnoszenie efektywności Grupy BEST wciąż trwa. Liczymy, że przeprowadzana transformacja cyfrowa dodatkowo zwiększy dźwignię operacyjną firmy, otwierając drogę dla dalszego wzrostu rentowności biznesu</w:t>
      </w:r>
      <w:r>
        <w:rPr/>
        <w:t xml:space="preserve">–</w:t>
      </w:r>
      <w:r>
        <w:rPr>
          <w:i w:val="1"/>
          <w:iCs w:val="1"/>
        </w:rPr>
        <w:t xml:space="preserve"> </w:t>
      </w:r>
      <w:r>
        <w:rPr/>
        <w:t xml:space="preserve">komentuje </w:t>
      </w:r>
      <w:r>
        <w:rPr>
          <w:b w:val="1"/>
          <w:bCs w:val="1"/>
        </w:rPr>
        <w:t xml:space="preserve">Krzysztof Borusowski, Prezes Zarządu BEST S.A.</w:t>
      </w:r>
    </w:p>
    <w:p/>
    <w:p>
      <w:pPr/>
      <w:r>
        <w:rPr>
          <w:b w:val="1"/>
          <w:bCs w:val="1"/>
        </w:rPr>
        <w:t xml:space="preserve">Marek Kucner, Wiceprezes Zarządu Spółki, </w:t>
      </w:r>
      <w:r>
        <w:rPr/>
        <w:t xml:space="preserve">podkreśla, że Grupa BEST również w drugiej części 2024 r. planuje pozostać aktywna na rynku portfeli wierzytelności, wykorzystując m.in. środki powierzone BEST S.A. przez inwestorów obligacyjnych. W III kwartale BEST S.A. przeprowadziła dwie publiczne emisje obligacji, o łącznej wartości 65 mln zł, zakończone wysokimi nadsubskrypcjami. – </w:t>
      </w:r>
      <w:r>
        <w:rPr>
          <w:i w:val="1"/>
          <w:iCs w:val="1"/>
        </w:rPr>
        <w:t xml:space="preserve">W 2023 r. przeznaczyliśmy na zakup wierzytelności ponad 310 mln zł. Plan na 2024 r. zakłada poprawienie tego wyniku. Aktywnie pracujemy nad wzrostem naszego biznesu, ze szczególnym naciskiem na rozwój działalności we Włoszech, której skala, mierzona zaangażowaniem w portfele, zwiększyła się w 2024 r. o blisko połowę – </w:t>
      </w:r>
      <w:r>
        <w:rPr/>
        <w:t xml:space="preserve">dodaje </w:t>
      </w:r>
      <w:r>
        <w:rPr>
          <w:b w:val="1"/>
          <w:bCs w:val="1"/>
        </w:rPr>
        <w:t xml:space="preserve">Marek Kucner</w:t>
      </w:r>
      <w:r>
        <w:rPr/>
        <w:t xml:space="preserve">.</w:t>
      </w:r>
    </w:p>
    <w:p/>
    <w:p>
      <w:pPr/>
      <w:r>
        <w:rPr>
          <w:i w:val="1"/>
          <w:iCs w:val="1"/>
        </w:rPr>
        <w:t xml:space="preserve">Rośniemy dziś nie tylko dzięki stabilnemu, zdrowemu bilansowi, pozwalającemu na pozyskiwanie zdywersyfikowanego finansowania, ale również dzięki konsekwentnemu doskonaleniu kluczowych procesów w firmie. Podnoszenie efektywności Grupy BEST wciąż trwa </w:t>
      </w:r>
      <w:r>
        <w:rPr/>
        <w:t xml:space="preserve">–</w:t>
      </w:r>
      <w:r>
        <w:rPr>
          <w:i w:val="1"/>
          <w:iCs w:val="1"/>
        </w:rPr>
        <w:t xml:space="preserve"> </w:t>
      </w:r>
      <w:r>
        <w:rPr/>
        <w:t xml:space="preserve">komentuje </w:t>
      </w:r>
      <w:r>
        <w:rPr>
          <w:b w:val="1"/>
          <w:bCs w:val="1"/>
        </w:rPr>
        <w:t xml:space="preserve">Krzysztof Borusowski, Prezes Zarządu BEST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2026-11-08T17:20:23+01:00</dcterms:created>
  <dcterms:modified xsi:type="dcterms:W3CDTF">2026-11-08T17:20:23+01:00</dcterms:modified>
</cp:coreProperties>
</file>

<file path=docProps/custom.xml><?xml version="1.0" encoding="utf-8"?>
<Properties xmlns="http://schemas.openxmlformats.org/officeDocument/2006/custom-properties" xmlns:vt="http://schemas.openxmlformats.org/officeDocument/2006/docPropsVTypes"/>
</file>