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Rekordowa oferta obligacji Marvipol Development</w:t>
      </w:r>
    </w:p>
    <w:p/>
    <w:p>
      <w:pPr/>
      <w:r>
        <w:rPr>
          <w:sz w:val="22.5"/>
          <w:szCs w:val="22.5"/>
          <w:b w:val="1"/>
          <w:bCs w:val="1"/>
        </w:rPr>
        <w:t xml:space="preserve">Inwestorzy instytucjonalni i indywidualni objęli 150.000 obligacji serii P2024A Marvipol Development S.A. Wartość emisji wyniosła 150 mln zł. Zakończona sukcesem oferta obligacji giełdowego dewelopera jest nie tylko największą w dotychczasowej historii Grupy Marvipol, ale również największą prospektową ofertą obligacji na polskim rynku w obecnej dekadzie.</w:t>
      </w:r>
    </w:p>
    <w:p/>
    <w:p>
      <w:pPr/>
      <w:r>
        <w:rPr/>
        <w:t xml:space="preserve">W zakończonych 25 kwietnia br. zapisach na 4-letnie obligacje Marvipol Development popyt wyniósł blisko 160 mln zł. Redukcja zapisów wyniosła 6 proc. Oprocentowanie obligacji oparte jest o stawkę WIBOR 6M powiększoną o marżę, ustaloną na poziomie 4,5 proc. </w:t>
      </w:r>
    </w:p>
    <w:p/>
    <w:p>
      <w:pPr/>
      <w:r>
        <w:rPr>
          <w:i w:val="1"/>
          <w:iCs w:val="1"/>
        </w:rPr>
        <w:t xml:space="preserve">– Spektakularny sukces oferty obligacji traktujemy jako kolejną zdecydowanie pozytywną ocenę modelu biznesowego Grupy Marvipol, perspektyw rozwoju naszej firmy oraz biznesowej rzetelności. Dziękujemy inwestorom, instytucjonalnym i indywidualnym, za okazane nam zaufanie. Powierzone środki zamierzamy przeznaczyć na współfinansowanie planów rozwojowych w biznesie deweloperskim, który, w naszej ocenie, będzie motorem napędowym wzrostu Grupy Marvipol w najbliższych latach </w:t>
      </w:r>
      <w:r>
        <w:rPr/>
        <w:t xml:space="preserve">– komentuje </w:t>
      </w:r>
      <w:r>
        <w:rPr>
          <w:b w:val="1"/>
          <w:bCs w:val="1"/>
        </w:rPr>
        <w:t xml:space="preserve">Mariusz Ksiażek</w:t>
      </w:r>
      <w:r>
        <w:rPr/>
        <w:t xml:space="preserve">, prezes Marvipol Development S.A.</w:t>
      </w:r>
    </w:p>
    <w:p/>
    <w:p>
      <w:pPr/>
      <w:r>
        <w:rPr/>
        <w:t xml:space="preserve">Organizatorem oferty obligacji Marvipol Development S.A. był Michael/Ström Dom Maklerski, a w skład konsorcjum dystrybucyjnego weszły: Dom Maklerski Banku Ochrony Środowiska, Dom Maklerski BDM oraz Noble Securities. Oferta obligacji jest częścią publicznego programu emisji obligacji o łącznej wartości nominalnej do 200 mln zł, realizowanego na podstawie prospektu zatwierdzonego przez Komisję Nadzoru Finansowego 5 kwietnia 2024 r.</w:t>
      </w:r>
    </w:p>
    <w:p/>
    <w:p>
      <w:pPr/>
      <w:r>
        <w:rPr>
          <w:i w:val="1"/>
          <w:iCs w:val="1"/>
        </w:rPr>
        <w:t xml:space="preserve">– Spektakularny sukces oferty obligacji traktujemy jako kolejną zdecydowanie pozytywną ocenę modelu biznesowego Grupy Marvipol, perspektyw rozwoju naszej firmy oraz biznesowej rzetelności  </w:t>
      </w:r>
      <w:r>
        <w:rPr/>
        <w:t xml:space="preserve">– komentuje </w:t>
      </w:r>
      <w:r>
        <w:rPr>
          <w:b w:val="1"/>
          <w:bCs w:val="1"/>
        </w:rPr>
        <w:t xml:space="preserve">Mariusz Ksiażek</w:t>
      </w:r>
      <w:r>
        <w:rPr/>
        <w:t xml:space="preserve">, prezes Marvipol Development S.A.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2026-11-08T17:20:25+01:00</dcterms:created>
  <dcterms:modified xsi:type="dcterms:W3CDTF">2026-11-08T17:20:25+01:00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