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Artifex Mundi rośnie w dwucyfrowym tempie</w:t>
      </w:r>
    </w:p>
    <w:p/>
    <w:p>
      <w:pPr/>
      <w:r>
        <w:rPr>
          <w:sz w:val="22.5"/>
          <w:szCs w:val="22.5"/>
          <w:b w:val="1"/>
          <w:bCs w:val="1"/>
        </w:rPr>
        <w:t xml:space="preserve">Notowany na GPW producent i wydawca gier zamknął sierpień br. z blisko 9,4 mln zł przychodów. Sprzedaż spółki była w minionym miesiącu wyższa o ponad 1 mln zł od rezultatu osiągniętego w lipcu br., a dynamika wzrostu rok do roku wyniosła 18%. Wydatki na akwizycję graczy dla Unsolved, budujące fundament dla przyszłych przychodów z komercjalizacji gry, wyniosły rekordowe 5,6 mln zł.</w:t>
      </w:r>
    </w:p>
    <w:p/>
    <w:p>
      <w:pPr/>
      <w:r>
        <w:rPr>
          <w:color w:val="171717"/>
          <w:shd w:val="clear" w:fill="white"/>
        </w:rPr>
        <w:t xml:space="preserve">Nakłady na akwizycje graczy wzrosły w sierpniu o 21% w porównaniu z lipcem br. oraz o 25% rok do roku. Wzrost skali wydatków na marketing był możliwy dzięki korzystnej sytuacji na globalnym rynku reklamy online oraz rozwojowi Unsolved, uzasadniającemu wyższe inwestycje w bazę graczy. </w:t>
      </w:r>
    </w:p>
    <w:p/>
    <w:p>
      <w:pPr/>
      <w:r>
        <w:rPr>
          <w:color w:val="171717"/>
          <w:shd w:val="clear" w:fill="white"/>
        </w:rPr>
        <w:t xml:space="preserve">Przychody z komercjalizacji Unsolved w sierpniu br. wyniosły 8,8 mln zł, wobec 7,7 mln zł miesiąc wcześniej i 7,2 mln zł przed rokiem. Średnie dzienne przychody z aplikacji wzrosły w porównaniu z lipcem br. o 13%, przy 21% wzroście wydatków na akwizycję graczy.</w:t>
      </w:r>
    </w:p>
    <w:p/>
    <w:p>
      <w:pPr/>
      <w:r>
        <w:rPr>
          <w:color w:val="171717"/>
          <w:shd w:val="clear" w:fill="white"/>
        </w:rPr>
        <w:t xml:space="preserve">Przychody Artifex Mundi za 8 miesięcy 2024 r. wyniosły 69,9 mln zł i były o 37% wyższe od osiągniętych w analogicznym okresie 2023 r. Przychody generowane przez Unsolved wzrosły w tym okresie o niemal połowę, do 63,8 mln zł. Pierwsza marża spółki (przychody pomniejszone o wydatki na akwizycję graczy) wzrosła rdr. o ponad 10 mln zł (43% wzrost rdr), do 34 mln zł. </w:t>
      </w:r>
    </w:p>
    <w:p/>
    <w:p>
      <w:pPr/>
      <w:r>
        <w:rPr>
          <w:color w:val="171717"/>
          <w:i w:val="1"/>
          <w:iCs w:val="1"/>
          <w:shd w:val="clear" w:fill="white"/>
        </w:rPr>
        <w:t xml:space="preserve">- Wakacje były dla nad pracowitym i biznesowo udanym okresem. Optymalnie wykorzystaliśmy zmiany na globalnym rynku reklamowym oraz wzrost KPI Unsolved, istotnie zwiększając bazę użytkowników naszego flagowego produktu. Konsekwentnie podążamy ścieżką rozwoju firmy, równolegle optymalizując dochody z dostępnych do komercjalizacji gier, rozwijając Unsolved oraz pracując nad nową grą RPG. Wierzę, że w najbliższych 12 miesiącach, od jesieni bieżącego roku począwszy, dostarczymy Akcjonariuszom Artifex Mundi szeregu podstaw do zadowolenia z zaangażowania w naszą spółkę – </w:t>
      </w:r>
      <w:r>
        <w:rPr>
          <w:color w:val="171717"/>
          <w:shd w:val="clear" w:fill="white"/>
        </w:rPr>
        <w:t xml:space="preserve">komentuje Przemysław Błaszczyk, prezes Artifex Mundi.</w:t>
      </w:r>
      <w:r>
        <w:rPr>
          <w:color w:val="171717"/>
          <w:i w:val="1"/>
          <w:iCs w:val="1"/>
          <w:shd w:val="clear" w:fill="white"/>
        </w:rPr>
        <w:t xml:space="preserve"> </w:t>
      </w:r>
    </w:p>
    <w:p/>
    <w:p>
      <w:pPr/>
      <w:r>
        <w:rPr/>
        <w:t xml:space="preserve">Wierzę, że w najbliższych 12 miesiącach, od jesieni bieżącego roku począwszy, dostarczymy Akcjonariuszom Artifex Mundi szeregu podstaw do zadowolenia z zaangażowania w naszą spółkę – komentuje Przemysław Błaszczyk, prezes Artifex Mundi.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2026-11-08T17:20:54+01:00</dcterms:created>
  <dcterms:modified xsi:type="dcterms:W3CDTF">2026-11-08T17:20:54+01:00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