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Backlog APS Energia wzrósł do rekordowego poziomu</w:t>
      </w:r>
    </w:p>
    <w:p/>
    <w:p>
      <w:pPr/>
      <w:r>
        <w:rPr>
          <w:sz w:val="22.5"/>
          <w:szCs w:val="22.5"/>
          <w:b w:val="1"/>
          <w:bCs w:val="1"/>
        </w:rPr>
        <w:t xml:space="preserve">Polski projektant i producent gwarantowanych systemów zasilania zakończył pierwsze półrocze br. wzrostem skonsolidowanych przychodów o 14 proc. do ponad 56 mln zł. W drugą połowę roku wszedł z portfelem zleceń sięgającym 96,6 mln zł (+40 proc. r/r). Zarząd z optymizmem patrzy na drugie półrocze.</w:t>
      </w:r>
    </w:p>
    <w:p/>
    <w:p>
      <w:pPr/>
      <w:r>
        <w:rPr/>
        <w:t xml:space="preserve">W pierwszym półroczu 2024 roku skonsolidowane przychody APS Energia przekroczyły 56 mln zł wobec 49,1 mln zł w analogicznym okresu 2023 roku. Największy przyrost dotyczył przychodów ze sprzedaży produktów (+ 19,3 proc.). Pomimo dwucyfrowego wzrostu sprzedaży spadły koszty sprzedaży (-0,9 proc.) oraz koszty ogólnego zarządu (-5 proc.). Na poziomie zysku brutto ze sprzedaży Grupa wypracowała blisko 12 mln zł, co oznacza poprawę r/r o 10,8 proc. Wynik netto Grupy wyniósł -7,5 mln zł (-9,8 mln straty netto w I półroczu 2023 roku). Na półroczną stratę netto jednostki dominującej wpływ miał brak dywidend od spółek zależnych. Do tego istotnie wzrosły koszty stałe działalności, w tym wynagrodzeń. </w:t>
      </w:r>
    </w:p>
    <w:p/>
    <w:p>
      <w:pPr/>
      <w:r>
        <w:rPr>
          <w:i w:val="1"/>
          <w:iCs w:val="1"/>
        </w:rPr>
        <w:t xml:space="preserve">-Decydująca dla wzrostu przychodów była wyższa sprzedaż eksportowa. Warto podkreślić, że zauważalny wzrost kosztów komponentów do produkcji oraz kosztów pracy, nie przeszkodził nam w poprawie zysku brutto ze sprzedaży. Jednocześnie należy pamiętać, że pierwsze dwa kwartały roku należą do tradycyjnie słabszych pod względem wyników. </w:t>
      </w:r>
    </w:p>
    <w:p/>
    <w:p>
      <w:pPr/>
      <w:r>
        <w:rPr>
          <w:i w:val="1"/>
          <w:iCs w:val="1"/>
        </w:rPr>
        <w:t xml:space="preserve">W drugie półrocze weszliśmy z portfelem zamówień sięgającym 96,6 mln zł i jest on na historycznie najwyższym poziomie. Posiadany backlog oraz udział w wielu postępowaniach przetargowych sprawia, że perspektywy na drugie półrocze i kolejne okresy wyglądają dość optymistycznie – komentuje </w:t>
      </w:r>
      <w:r>
        <w:rPr/>
        <w:t xml:space="preserve">Piotr Szewczyk, Prezes Zarządu APS Energia.</w:t>
      </w:r>
    </w:p>
    <w:p/>
    <w:p>
      <w:pPr/>
      <w:r>
        <w:rPr/>
        <w:t xml:space="preserve">W minionym półroczu, w Grupie dominowała sprzedaż eksportowa, która stanowiła około 72 proc. ogólnych przychodów. Do 44,6 proc. wzrósł udział odbiorców z UE wobec 29,3 proc. rok wcześniej. Udział krajowego rynku obniżył się z 48 proc. do 28 proc., co wynikało z przesunięcia realizacji kontraktów na kolejne okresy. W pierwszym półroczu br. rynek polski i UE łącznie wygenerowały 72,6 proc. przychodów Grupy.</w:t>
      </w:r>
    </w:p>
    <w:p/>
    <w:p>
      <w:pPr/>
      <w:r>
        <w:rPr>
          <w:i w:val="1"/>
          <w:iCs w:val="1"/>
        </w:rPr>
        <w:t xml:space="preserve">- Zarówno sprzedaż, jak i pozyskany portfel zamówień Grupy wskazują na wysoki udział projektów zleconych przez klientów z rynków eksportowych. Bierzemy udział w wielu przetargach za granicą, ale też w kraju, oczekując na pozyskanie nowych zamówień. W tym tygodniu podpisaliśmy list intencyjny na duży projekt w branży e-mobility. Dotyczy on produkcji i częściowej instalacji do 1500 jedno i wielostanowiskowych publicznych stacji ładowania AC i DC samochodów elektrycznych dla ogólnopolskiej sieci handlowej. W kolejnych kwartałach liczymy na wymierne efekty realizowanej strategii, w której kładziemy duży nacisk na rozwój w dynamicznie rosnących branżach, takich jak elektromobilność czy trakcja i transport – dodaje Piotr Szewczyk.</w:t>
      </w:r>
    </w:p>
    <w:p/>
    <w:p>
      <w:pPr/>
      <w:r>
        <w:rPr/>
        <w:t xml:space="preserve">Również w tym miesiącu Spółka pozyskała kontrakt eksportowy w segmencie trakcji i transportu o wartości 4,1 mln euro. Wcześniej portfel zleceń powiększyło kilka innych, równie istotnych kontraktów – zamówienie od z H. Cegielski - Fabryka Pojazdów Szynowych na ponad 10 mln zł, z ukraińskiego rynku o wartości 2,5 mln euro czy na dostawę urządzeń do wagonów na sumę ponad 10 mln zł do PKP Intercity Remtrak.</w:t>
      </w:r>
    </w:p>
    <w:p/>
    <w:p>
      <w:pPr/>
      <w:r>
        <w:rPr/>
        <w:t xml:space="preserve">Oprócz obszarów e-mobility i trakcji i transportu innymi strategicznymi kierunkami rozwoju APS Energia są magazyny energii oraz energetyka atomowa. W tym roku spółka kontynuowała II fazę projektu dofinansowanego ze środków NCBIR „APStorage 2.0. Modułowy, konfigurowalny, zdalnie sterowalny i cyberbezpieczny system magazynowania i kondycjonowania energii elektrycznej”. Dział Badań i Rozwoju opracowuje także przekształtnik do wielkoskalowych magazynów energii, który pozwoli na dynamiczne zwiększenie sprzedaży. Jednocześnie Grupa od lat inwestuje w rozwój oferty dla energetyki atomowej, widząc ogromny potencjał tego sektora. Współpracuje z międzynarodowymi partnerami, takimi jak Westinghouse, Doosan Enerbility, KHNP i EDF. APS Energia uczestniczy również w Programie Polskiej Energetyki Jądrowej. Oprócz tego planuje dostarczać urządzenia do przyszłych inwestycji realizowanych m.in. w Egipcie, Finlandii, Turcji, Węgrzech, Indiach i Bangladeszu. Obecnie bierze udział w przetargu na modernizację elektrowni jądrowej w Temelinie.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2026-11-08T17:20:18+01:00</dcterms:created>
  <dcterms:modified xsi:type="dcterms:W3CDTF">2026-11-08T17:20:18+01:00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