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ELEKTROTIM z rekordowym backlogiem na koniec pierwszego kwartału 2024 r.</w:t>
      </w:r>
    </w:p>
    <w:p/>
    <w:p>
      <w:pPr/>
      <w:r>
        <w:rPr>
          <w:sz w:val="22.5"/>
          <w:szCs w:val="22.5"/>
          <w:b w:val="1"/>
          <w:bCs w:val="1"/>
        </w:rPr>
        <w:t xml:space="preserve">ELEKTROTIM S.A. zanotował udany początek 2024 roku. Portfel zleceń na koniec marca br. osiągnął rekordowe 647 mln zł co oznacza poprawę rok do roku o 14 proc. Historycznie najwyższa była również wartość zamówień pozyskanych w ciągu ostatnich 12 miesięcy, która wyniosła 595 mln zł.</w:t>
      </w:r>
    </w:p>
    <w:p/>
    <w:p>
      <w:pPr/>
      <w:r>
        <w:rPr>
          <w:i w:val="1"/>
          <w:iCs w:val="1"/>
        </w:rPr>
        <w:t xml:space="preserve">- Wyniki pierwszego kwartału oceniam pozytywnie. Bardzo dobrym prognostykiem na cały rok jest rekordowy portfel zleceń, który daje nam duży komfort pracy i zabezpiecza przychody Spółki co najmniej do końca I kwartału 2025 r. Teraz czekamy na poprawę sytuacji rynkowej związaną z odblokowaniem środków unijnych, wdrożeniem planów KPO, transformacją sektora energetycznego i zapowiadanymi inwestycjami infrastrukturalnymi. Przygotowujemy się do tego gorącego okresu dostosowując strukturę naszej organizacji, zabezpieczając finansowanie prowadzonej działalności oraz ofertę produktową wraz z certyfikacją. Jestem przekonany, że potrafimy skorzystać z istniejących potencjałów rynkowych</w:t>
      </w:r>
      <w:r>
        <w:rPr/>
        <w:t xml:space="preserve"> – mówi </w:t>
      </w:r>
      <w:r>
        <w:rPr>
          <w:b w:val="1"/>
          <w:bCs w:val="1"/>
        </w:rPr>
        <w:t xml:space="preserve">Artur Więznowski, Prezes Zarządu ELEKTROTIM S.A.</w:t>
      </w:r>
    </w:p>
    <w:p/>
    <w:p>
      <w:pPr/>
      <w:r>
        <w:rPr/>
        <w:t xml:space="preserve">Na rekordowy portfel zleceń (w samym I kwartale br. pozyskano 330 mln zł), główny wpływ miała kolejna umowa ze Strażą Graniczną zawarta na rozbudowę bariery perymetrycznej na granicach Polski o wartości 227 mln zł.</w:t>
      </w:r>
    </w:p>
    <w:p/>
    <w:p>
      <w:pPr/>
      <w:r>
        <w:rPr>
          <w:i w:val="1"/>
          <w:iCs w:val="1"/>
        </w:rPr>
        <w:t xml:space="preserve">- Obecnie jesteśmy na etapie finalizowania prac projektowych w tym zadaniu i wkrótce zgodnie z harmonogramem przystąpimy do jego realizacji.Chciałbym podkreślić, iż Straż Graniczna wybrała ELEKTROTIM jako wykonawcę trzeciego już odcinka perymetrii, co jest dla nas bardzo nobilitujące. Doceniono tym samym potencjał produktowy naszej spółki zależnej OSTOYA-DataSystem Sp. z o.o., bowiem rozwiązania dotyczące systemów zabezpieczeń opierają się na jej autorskich produktach</w:t>
      </w:r>
      <w:r>
        <w:rPr/>
        <w:t xml:space="preserve"> – wyjaśnia </w:t>
      </w:r>
      <w:r>
        <w:rPr>
          <w:b w:val="1"/>
          <w:bCs w:val="1"/>
        </w:rPr>
        <w:t xml:space="preserve">Dariusz Kozikowski - Członek Zarządu i Dyrektor Operacyjny ELEKTROTIM S.A.</w:t>
      </w:r>
    </w:p>
    <w:p/>
    <w:p>
      <w:pPr/>
      <w:r>
        <w:rPr>
          <w:i w:val="1"/>
          <w:iCs w:val="1"/>
        </w:rPr>
        <w:t xml:space="preserve">- Wysoki poziom zysku skonsolidowanego wynikał z wyniku wykazanego na sprzedaży spółki zależnej ZEUS. W związku ze sprzedażą, w I kwartale nastąpiło „księgowe odwrócenie” ujemnych kapitałów tej Spółki </w:t>
      </w:r>
      <w:r>
        <w:rPr/>
        <w:t xml:space="preserve">– powiedział </w:t>
      </w:r>
      <w:r>
        <w:rPr>
          <w:b w:val="1"/>
          <w:bCs w:val="1"/>
        </w:rPr>
        <w:t xml:space="preserve">Artur Więznowski, Prezes Zarządu ELEKTROTIM S.A.</w:t>
      </w:r>
    </w:p>
    <w:p/>
    <w:p>
      <w:pPr/>
      <w:r>
        <w:rPr/>
        <w:t xml:space="preserve">Wzrost skali aktywności Spółki i jej sukcesy w pozyskiwaniu nowych kontraktów, przy pozbyciu się bagażu spółek zależnych docenili Inwestorzy Spółki. W maju br. kapitalizacja Spółki przekroczyła 300 mln zł, a wejście do indeksu sWIG80 zwiększyło rozpoznawalność marki zarówno wśród inwestorów, jak i potencjalnych klientów. Spółka planuje podzielić się zyskiem za 2023 rok z akcjonariuszami. Rekomendacja Zarządu przedstawiona walnemu zgromadzeniu to wypłata rekordowych 2,5 zł na akcję.</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2026-11-08T17:20:12+01:00</dcterms:created>
  <dcterms:modified xsi:type="dcterms:W3CDTF">2026-11-08T17:20:12+01:00</dcterms:modified>
</cp:coreProperties>
</file>

<file path=docProps/custom.xml><?xml version="1.0" encoding="utf-8"?>
<Properties xmlns="http://schemas.openxmlformats.org/officeDocument/2006/custom-properties" xmlns:vt="http://schemas.openxmlformats.org/officeDocument/2006/docPropsVTypes"/>
</file>